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C6B38C3"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044F46" w:rsidRPr="00044F46">
        <w:t>96</w:t>
      </w:r>
      <w:r w:rsidR="00CC33A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AF78B5" w:rsidRPr="00AF78B5">
        <w:rPr>
          <w:sz w:val="32"/>
          <w:szCs w:val="32"/>
        </w:rPr>
        <w:t>05161</w:t>
      </w:r>
    </w:p>
    <w:p w14:paraId="1503BF16" w14:textId="061C8B5D" w:rsidR="00E90E49" w:rsidRPr="00CE0424" w:rsidRDefault="00D31158" w:rsidP="00357380">
      <w:pPr>
        <w:pStyle w:val="3GPPHeader"/>
      </w:pPr>
      <w:r w:rsidRPr="00D31158">
        <w:t>Xi’an, China, 8</w:t>
      </w:r>
      <w:r w:rsidRPr="002006C0">
        <w:rPr>
          <w:vertAlign w:val="superscript"/>
        </w:rPr>
        <w:t>th</w:t>
      </w:r>
      <w:r w:rsidRPr="00D31158">
        <w:t xml:space="preserve"> – 12</w:t>
      </w:r>
      <w:r w:rsidRPr="002006C0">
        <w:rPr>
          <w:vertAlign w:val="superscript"/>
        </w:rPr>
        <w:t>th</w:t>
      </w:r>
      <w:r w:rsidR="002006C0">
        <w:t xml:space="preserve"> </w:t>
      </w:r>
      <w:r w:rsidRPr="00D31158">
        <w:t>April 2019</w:t>
      </w:r>
    </w:p>
    <w:p w14:paraId="4BC66F81" w14:textId="59AF4198"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AF78B5">
        <w:rPr>
          <w:sz w:val="22"/>
          <w:szCs w:val="22"/>
          <w:lang w:val="en-US"/>
        </w:rPr>
        <w:t>7.2.</w:t>
      </w:r>
      <w:r w:rsidR="00CF191C" w:rsidRPr="00AF78B5">
        <w:rPr>
          <w:sz w:val="22"/>
          <w:szCs w:val="22"/>
          <w:lang w:val="en-US"/>
        </w:rPr>
        <w:t>12.</w:t>
      </w:r>
      <w:r w:rsidR="007B19EE" w:rsidRPr="00AF78B5">
        <w:rPr>
          <w:sz w:val="22"/>
          <w:szCs w:val="22"/>
          <w:lang w:val="en-US"/>
        </w:rPr>
        <w:t>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5B4F0E81" w:rsidR="00E90E49" w:rsidRPr="00CE0424" w:rsidRDefault="003D3C45" w:rsidP="00311702">
      <w:pPr>
        <w:pStyle w:val="3GPPHeader"/>
        <w:rPr>
          <w:sz w:val="22"/>
          <w:szCs w:val="22"/>
        </w:rPr>
      </w:pPr>
      <w:r>
        <w:rPr>
          <w:sz w:val="22"/>
          <w:szCs w:val="22"/>
        </w:rPr>
        <w:t>Title:</w:t>
      </w:r>
      <w:r w:rsidR="00E90E49" w:rsidRPr="00CE0424">
        <w:rPr>
          <w:sz w:val="22"/>
          <w:szCs w:val="22"/>
        </w:rPr>
        <w:tab/>
      </w:r>
      <w:r w:rsidR="00636A94">
        <w:t>Physical Layer Aspects for Mobility Enhancements</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7000E598" w14:textId="77777777" w:rsidR="00CF2719" w:rsidRDefault="00CF2719" w:rsidP="00CF2719">
      <w:pPr>
        <w:pStyle w:val="BodyText"/>
      </w:pPr>
      <w:r>
        <w:t>In RAN1#96, the following conclusion was made:</w:t>
      </w:r>
    </w:p>
    <w:p w14:paraId="6D74DB32" w14:textId="77777777" w:rsidR="00CF2719" w:rsidRDefault="00CF2719" w:rsidP="00CF2719">
      <w:pPr>
        <w:pStyle w:val="BodyText"/>
      </w:pPr>
      <w:r>
        <w:rPr>
          <w:noProof/>
        </w:rPr>
        <mc:AlternateContent>
          <mc:Choice Requires="wps">
            <w:drawing>
              <wp:inline distT="0" distB="0" distL="0" distR="0" wp14:anchorId="1764E443" wp14:editId="14959065">
                <wp:extent cx="6143625" cy="2057400"/>
                <wp:effectExtent l="0" t="0" r="28575" b="22860"/>
                <wp:docPr id="1" name="Text Box 1"/>
                <wp:cNvGraphicFramePr/>
                <a:graphic xmlns:a="http://schemas.openxmlformats.org/drawingml/2006/main">
                  <a:graphicData uri="http://schemas.microsoft.com/office/word/2010/wordprocessingShape">
                    <wps:wsp>
                      <wps:cNvSpPr txBox="1"/>
                      <wps:spPr>
                        <a:xfrm>
                          <a:off x="0" y="0"/>
                          <a:ext cx="6143625" cy="2057400"/>
                        </a:xfrm>
                        <a:prstGeom prst="rect">
                          <a:avLst/>
                        </a:prstGeom>
                        <a:solidFill>
                          <a:schemeClr val="lt1"/>
                        </a:solidFill>
                        <a:ln w="6350">
                          <a:solidFill>
                            <a:prstClr val="black"/>
                          </a:solidFill>
                        </a:ln>
                      </wps:spPr>
                      <wps:txbx>
                        <w:txbxContent>
                          <w:p w14:paraId="1DBB845F" w14:textId="77777777" w:rsidR="0006070F" w:rsidRPr="00B65FCB" w:rsidRDefault="0006070F" w:rsidP="00CF2719">
                            <w:pPr>
                              <w:rPr>
                                <w:b/>
                                <w:lang w:eastAsia="x-none"/>
                              </w:rPr>
                            </w:pPr>
                            <w:r w:rsidRPr="00B65FCB">
                              <w:rPr>
                                <w:b/>
                                <w:u w:val="single"/>
                                <w:lang w:eastAsia="x-none"/>
                              </w:rPr>
                              <w:t>Conclusion</w:t>
                            </w:r>
                            <w:r w:rsidRPr="00B65FCB">
                              <w:rPr>
                                <w:b/>
                                <w:lang w:eastAsia="x-none"/>
                              </w:rPr>
                              <w:t>:</w:t>
                            </w:r>
                          </w:p>
                          <w:p w14:paraId="3DD1E99C" w14:textId="77777777" w:rsidR="0006070F" w:rsidRPr="00B65FCB" w:rsidRDefault="0006070F" w:rsidP="00CF2719">
                            <w:r w:rsidRPr="00B65FCB">
                              <w:t>The following physical layer aspects for mobility enhancements have been identified in RAN1#96 and are to be further studied (but not limited to):</w:t>
                            </w:r>
                          </w:p>
                          <w:p w14:paraId="38FBC8E2"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RACH-less HO</w:t>
                            </w:r>
                          </w:p>
                          <w:p w14:paraId="2E565D52"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TA for target cell (if applicable)</w:t>
                            </w:r>
                          </w:p>
                          <w:p w14:paraId="4246D6C0"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Power control for PUSCH for the target cell</w:t>
                            </w:r>
                          </w:p>
                          <w:p w14:paraId="32A953ED"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UL grants configuration </w:t>
                            </w:r>
                          </w:p>
                          <w:p w14:paraId="25056C36"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Tx/Rx beam related aspects</w:t>
                            </w:r>
                          </w:p>
                          <w:p w14:paraId="5C152789"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PUSCH transmission aspects (e.g. repetition, etc.)</w:t>
                            </w:r>
                          </w:p>
                          <w:p w14:paraId="329A9D65"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7094F15F"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1CFCC6DF"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PDCCH monitoring for source and target cells.</w:t>
                            </w:r>
                          </w:p>
                          <w:p w14:paraId="28660825"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Procedures related to DL/UL operation</w:t>
                            </w:r>
                          </w:p>
                          <w:p w14:paraId="6D533095"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Power control for PUSCH/PUCCH/SRS </w:t>
                            </w:r>
                          </w:p>
                          <w:p w14:paraId="2B7BA65D"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Tx/Rx beam related aspects </w:t>
                            </w:r>
                          </w:p>
                          <w:p w14:paraId="41A9F65B"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305CE038"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7612920B" w14:textId="77777777" w:rsidR="0006070F" w:rsidRPr="00FB5852" w:rsidRDefault="0006070F" w:rsidP="00CF2719">
                            <w:pPr>
                              <w:numPr>
                                <w:ilvl w:val="1"/>
                                <w:numId w:val="23"/>
                              </w:numPr>
                              <w:overflowPunct/>
                              <w:autoSpaceDE/>
                              <w:autoSpaceDN/>
                              <w:adjustRightInd/>
                              <w:spacing w:after="0"/>
                              <w:textAlignment w:val="auto"/>
                              <w:rPr>
                                <w:bCs/>
                                <w:lang w:eastAsia="zh-CN"/>
                              </w:rPr>
                            </w:pPr>
                            <w:r w:rsidRPr="00FB5852">
                              <w:rPr>
                                <w:bCs/>
                                <w:lang w:eastAsia="zh-CN"/>
                              </w:rPr>
                              <w:t xml:space="preserve">If supported, </w:t>
                            </w:r>
                            <w:proofErr w:type="gramStart"/>
                            <w:r w:rsidRPr="00FB5852">
                              <w:rPr>
                                <w:bCs/>
                                <w:lang w:eastAsia="zh-CN"/>
                              </w:rPr>
                              <w:t>whether or not</w:t>
                            </w:r>
                            <w:proofErr w:type="gramEnd"/>
                            <w:r w:rsidRPr="00FB5852">
                              <w:rPr>
                                <w:bCs/>
                                <w:lang w:eastAsia="zh-CN"/>
                              </w:rPr>
                              <w:t xml:space="preserve"> PHY impacts are similar/the same to those under dual connectivity (DC) based HO</w:t>
                            </w:r>
                          </w:p>
                          <w:p w14:paraId="417997B2"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0BD707C"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2E9149AC"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16C41272"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Link recovery on non-serving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764E443" id="_x0000_t202" coordsize="21600,21600" o:spt="202" path="m,l,21600r21600,l21600,xe">
                <v:stroke joinstyle="miter"/>
                <v:path gradientshapeok="t" o:connecttype="rect"/>
              </v:shapetype>
              <v:shape id="Text Box 1" o:spid="_x0000_s1026" type="#_x0000_t202" style="width:483.7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" fillcolor="white [3201]" strokeweight=".5pt">
                <v:textbox style="mso-fit-shape-to-text:t">
                  <w:txbxContent>
                    <w:p w14:paraId="1DBB845F" w14:textId="77777777" w:rsidR="0006070F" w:rsidRPr="00B65FCB" w:rsidRDefault="0006070F" w:rsidP="00CF2719">
                      <w:pPr>
                        <w:rPr>
                          <w:b/>
                          <w:lang w:eastAsia="x-none"/>
                        </w:rPr>
                      </w:pPr>
                      <w:r w:rsidRPr="00B65FCB">
                        <w:rPr>
                          <w:b/>
                          <w:u w:val="single"/>
                          <w:lang w:eastAsia="x-none"/>
                        </w:rPr>
                        <w:t>Conclusion</w:t>
                      </w:r>
                      <w:r w:rsidRPr="00B65FCB">
                        <w:rPr>
                          <w:b/>
                          <w:lang w:eastAsia="x-none"/>
                        </w:rPr>
                        <w:t>:</w:t>
                      </w:r>
                    </w:p>
                    <w:p w14:paraId="3DD1E99C" w14:textId="77777777" w:rsidR="0006070F" w:rsidRPr="00B65FCB" w:rsidRDefault="0006070F" w:rsidP="00CF2719">
                      <w:r w:rsidRPr="00B65FCB">
                        <w:t>The following physical layer aspects for mobility enhancements have been identified in RAN1#96 and are to be further studied (but not limited to):</w:t>
                      </w:r>
                    </w:p>
                    <w:p w14:paraId="38FBC8E2"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RACH-less HO</w:t>
                      </w:r>
                    </w:p>
                    <w:p w14:paraId="2E565D52"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TA for target cell (if applicable)</w:t>
                      </w:r>
                    </w:p>
                    <w:p w14:paraId="4246D6C0"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Power control for PUSCH for the target cell</w:t>
                      </w:r>
                    </w:p>
                    <w:p w14:paraId="32A953ED"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UL grants configuration </w:t>
                      </w:r>
                    </w:p>
                    <w:p w14:paraId="25056C36"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Tx/Rx beam related aspects</w:t>
                      </w:r>
                    </w:p>
                    <w:p w14:paraId="5C152789"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PUSCH transmission aspects (e.g. repetition, etc.)</w:t>
                      </w:r>
                    </w:p>
                    <w:p w14:paraId="329A9D65"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7094F15F"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1CFCC6DF"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PDCCH monitoring for source and target cells.</w:t>
                      </w:r>
                    </w:p>
                    <w:p w14:paraId="28660825"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Procedures related to DL/UL operation</w:t>
                      </w:r>
                    </w:p>
                    <w:p w14:paraId="6D533095"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Power control for PUSCH/PUCCH/SRS </w:t>
                      </w:r>
                    </w:p>
                    <w:p w14:paraId="2B7BA65D"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 xml:space="preserve">Tx/Rx beam related aspects </w:t>
                      </w:r>
                    </w:p>
                    <w:p w14:paraId="41A9F65B"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305CE038"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7612920B" w14:textId="77777777" w:rsidR="0006070F" w:rsidRPr="00FB5852" w:rsidRDefault="0006070F" w:rsidP="00CF2719">
                      <w:pPr>
                        <w:numPr>
                          <w:ilvl w:val="1"/>
                          <w:numId w:val="23"/>
                        </w:numPr>
                        <w:overflowPunct/>
                        <w:autoSpaceDE/>
                        <w:autoSpaceDN/>
                        <w:adjustRightInd/>
                        <w:spacing w:after="0"/>
                        <w:textAlignment w:val="auto"/>
                        <w:rPr>
                          <w:bCs/>
                          <w:lang w:eastAsia="zh-CN"/>
                        </w:rPr>
                      </w:pPr>
                      <w:r w:rsidRPr="00FB5852">
                        <w:rPr>
                          <w:bCs/>
                          <w:lang w:eastAsia="zh-CN"/>
                        </w:rPr>
                        <w:t xml:space="preserve">If supported, </w:t>
                      </w:r>
                      <w:proofErr w:type="gramStart"/>
                      <w:r w:rsidRPr="00FB5852">
                        <w:rPr>
                          <w:bCs/>
                          <w:lang w:eastAsia="zh-CN"/>
                        </w:rPr>
                        <w:t>whether or not</w:t>
                      </w:r>
                      <w:proofErr w:type="gramEnd"/>
                      <w:r w:rsidRPr="00FB5852">
                        <w:rPr>
                          <w:bCs/>
                          <w:lang w:eastAsia="zh-CN"/>
                        </w:rPr>
                        <w:t xml:space="preserve"> PHY impacts are similar/the same to those under dual connectivity (DC) based HO</w:t>
                      </w:r>
                    </w:p>
                    <w:p w14:paraId="417997B2" w14:textId="77777777" w:rsidR="0006070F" w:rsidRPr="00FB5852" w:rsidRDefault="0006070F" w:rsidP="00CF2719">
                      <w:pPr>
                        <w:pStyle w:val="ListParagraph"/>
                        <w:numPr>
                          <w:ilvl w:val="0"/>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0BD707C"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2E9149AC"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16C41272" w14:textId="77777777" w:rsidR="0006070F" w:rsidRPr="00FB5852" w:rsidRDefault="0006070F" w:rsidP="00CF2719">
                      <w:pPr>
                        <w:pStyle w:val="ListParagraph"/>
                        <w:numPr>
                          <w:ilvl w:val="1"/>
                          <w:numId w:val="23"/>
                        </w:numPr>
                        <w:overflowPunct/>
                        <w:autoSpaceDE/>
                        <w:autoSpaceDN/>
                        <w:adjustRightInd/>
                        <w:textAlignment w:val="auto"/>
                        <w:rPr>
                          <w:rFonts w:ascii="Times New Roman" w:hAnsi="Times New Roman"/>
                          <w:bCs/>
                          <w:lang w:eastAsia="zh-CN"/>
                        </w:rPr>
                      </w:pPr>
                      <w:r w:rsidRPr="00FB5852">
                        <w:rPr>
                          <w:rFonts w:ascii="Times New Roman" w:hAnsi="Times New Roman"/>
                          <w:bCs/>
                          <w:lang w:eastAsia="zh-CN"/>
                        </w:rPr>
                        <w:t>Link recovery on non-serving cells</w:t>
                      </w:r>
                    </w:p>
                  </w:txbxContent>
                </v:textbox>
                <w10:anchorlock/>
              </v:shape>
            </w:pict>
          </mc:Fallback>
        </mc:AlternateContent>
      </w:r>
    </w:p>
    <w:p w14:paraId="32A6C0D7" w14:textId="78CD395F" w:rsidR="00477768" w:rsidRPr="00CE0424" w:rsidRDefault="00CF2719" w:rsidP="00CE0424">
      <w:pPr>
        <w:pStyle w:val="BodyText"/>
      </w:pPr>
      <w:r>
        <w:t xml:space="preserve">In this contribution, we discuss </w:t>
      </w:r>
      <w:r w:rsidR="00521169">
        <w:t xml:space="preserve">all the above </w:t>
      </w:r>
      <w:r>
        <w:t xml:space="preserve">physical layer aspects </w:t>
      </w:r>
      <w:r w:rsidR="00521169">
        <w:t>for mobility enhancements.</w:t>
      </w:r>
      <w:r w:rsidR="00644F4E">
        <w:t xml:space="preserve"> We also discuss the possibility to perform early CSI reporting during handover.</w:t>
      </w:r>
    </w:p>
    <w:p w14:paraId="4240D1DF" w14:textId="05649632" w:rsidR="004000E8" w:rsidRDefault="00230D18" w:rsidP="00CE0424">
      <w:pPr>
        <w:pStyle w:val="Heading1"/>
      </w:pPr>
      <w:bookmarkStart w:id="1" w:name="_Ref178064866"/>
      <w:r>
        <w:t>2</w:t>
      </w:r>
      <w:r>
        <w:tab/>
      </w:r>
      <w:r w:rsidR="004000E8" w:rsidRPr="00CE0424">
        <w:t>Discussion</w:t>
      </w:r>
      <w:bookmarkEnd w:id="1"/>
    </w:p>
    <w:p w14:paraId="7EE2C25E" w14:textId="31A44A29" w:rsidR="00521169" w:rsidRPr="00521169" w:rsidRDefault="00521169" w:rsidP="00521169">
      <w:pPr>
        <w:pStyle w:val="BodyText"/>
      </w:pPr>
    </w:p>
    <w:p w14:paraId="4BC022B7" w14:textId="082ECE61" w:rsidR="00F63950" w:rsidRDefault="00230D18" w:rsidP="00F63950">
      <w:pPr>
        <w:pStyle w:val="Heading2"/>
      </w:pPr>
      <w:r>
        <w:lastRenderedPageBreak/>
        <w:t>2.1</w:t>
      </w:r>
      <w:r>
        <w:tab/>
      </w:r>
      <w:r w:rsidR="00521169">
        <w:t>Physical layer aspects of RACH-less HO</w:t>
      </w:r>
    </w:p>
    <w:p w14:paraId="2D93D397" w14:textId="77777777" w:rsidR="00521169" w:rsidRDefault="00521169" w:rsidP="00521169">
      <w:pPr>
        <w:pStyle w:val="BodyText"/>
      </w:pPr>
      <w:r>
        <w:t xml:space="preserve">In normal handover, the network uses Msg1 for derive a new timing advance, </w:t>
      </w:r>
      <w:proofErr w:type="gramStart"/>
      <w:r>
        <w:t>and also</w:t>
      </w:r>
      <w:proofErr w:type="gramEnd"/>
      <w:r>
        <w:t xml:space="preserve"> to determine the Tx beam for Msg2 and subsequent downlink transmissions. Msg2 contains the UL grant for Msg3 </w:t>
      </w:r>
      <w:proofErr w:type="gramStart"/>
      <w:r>
        <w:t>and also</w:t>
      </w:r>
      <w:proofErr w:type="gramEnd"/>
      <w:r>
        <w:t xml:space="preserve"> a new timing advance value.</w:t>
      </w:r>
    </w:p>
    <w:p w14:paraId="1B291E2D" w14:textId="43AAECC0" w:rsidR="00521169" w:rsidRDefault="00521169" w:rsidP="00521169">
      <w:pPr>
        <w:pStyle w:val="BodyText"/>
      </w:pPr>
      <w:r>
        <w:t xml:space="preserve">In RACH-less HO/SCG change, Msg1 and Msg2 in the target cell are skipped. Instead, the first transmission in the target cell is Msg3. The signalling diagram for RACH-less HO is depicted in </w:t>
      </w:r>
      <w:r>
        <w:fldChar w:fldCharType="begin"/>
      </w:r>
      <w:r>
        <w:instrText xml:space="preserve"> REF _Ref4485206 \h </w:instrText>
      </w:r>
      <w:r>
        <w:fldChar w:fldCharType="separate"/>
      </w:r>
      <w:r w:rsidR="00661570" w:rsidRPr="00CE0424">
        <w:t xml:space="preserve">Figure </w:t>
      </w:r>
      <w:r w:rsidR="00661570">
        <w:rPr>
          <w:noProof/>
        </w:rPr>
        <w:t>1</w:t>
      </w:r>
      <w:r>
        <w:fldChar w:fldCharType="end"/>
      </w:r>
      <w:r>
        <w:t>. RACH-less HO was standardized for LTE in Rel-14.</w:t>
      </w:r>
    </w:p>
    <w:p w14:paraId="1377616B" w14:textId="77777777" w:rsidR="00521169" w:rsidRDefault="00521169" w:rsidP="00521169">
      <w:pPr>
        <w:pStyle w:val="TH"/>
      </w:pPr>
      <w:r>
        <w:rPr>
          <w:noProof/>
        </w:rPr>
        <w:drawing>
          <wp:inline distT="0" distB="0" distL="0" distR="0" wp14:anchorId="03013A8D" wp14:editId="612FE4AC">
            <wp:extent cx="5261304" cy="4779678"/>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ach-less HO.png"/>
                    <pic:cNvPicPr/>
                  </pic:nvPicPr>
                  <pic:blipFill>
                    <a:blip r:embed="rId11">
                      <a:extLst>
                        <a:ext uri="{28A0092B-C50C-407E-A947-70E740481C1C}">
                          <a14:useLocalDpi xmlns:a14="http://schemas.microsoft.com/office/drawing/2010/main" val="0"/>
                        </a:ext>
                      </a:extLst>
                    </a:blip>
                    <a:stretch>
                      <a:fillRect/>
                    </a:stretch>
                  </pic:blipFill>
                  <pic:spPr>
                    <a:xfrm>
                      <a:off x="0" y="0"/>
                      <a:ext cx="5261304" cy="4779678"/>
                    </a:xfrm>
                    <a:prstGeom prst="rect">
                      <a:avLst/>
                    </a:prstGeom>
                  </pic:spPr>
                </pic:pic>
              </a:graphicData>
            </a:graphic>
          </wp:inline>
        </w:drawing>
      </w:r>
    </w:p>
    <w:p w14:paraId="65E0FAC5" w14:textId="1133073F" w:rsidR="00521169" w:rsidRPr="00E85ADD" w:rsidRDefault="00521169" w:rsidP="00521169">
      <w:pPr>
        <w:pStyle w:val="TF"/>
        <w:rPr>
          <w:lang w:val="en-US"/>
        </w:rPr>
      </w:pPr>
      <w:bookmarkStart w:id="2" w:name="_Ref4485206"/>
      <w:r w:rsidRPr="00CE0424">
        <w:t xml:space="preserve">Figure </w:t>
      </w:r>
      <w:r>
        <w:rPr>
          <w:noProof/>
        </w:rPr>
        <w:fldChar w:fldCharType="begin"/>
      </w:r>
      <w:r>
        <w:rPr>
          <w:noProof/>
        </w:rPr>
        <w:instrText xml:space="preserve"> SEQ Figure \* ARABIC </w:instrText>
      </w:r>
      <w:r>
        <w:rPr>
          <w:noProof/>
        </w:rPr>
        <w:fldChar w:fldCharType="separate"/>
      </w:r>
      <w:r w:rsidR="00661570">
        <w:rPr>
          <w:noProof/>
        </w:rPr>
        <w:t>1</w:t>
      </w:r>
      <w:r>
        <w:rPr>
          <w:noProof/>
        </w:rPr>
        <w:fldChar w:fldCharType="end"/>
      </w:r>
      <w:bookmarkEnd w:id="2"/>
      <w:r w:rsidRPr="00CE0424">
        <w:t xml:space="preserve">: </w:t>
      </w:r>
      <w:r w:rsidRPr="00E85ADD">
        <w:rPr>
          <w:lang w:val="en-US"/>
        </w:rPr>
        <w:t xml:space="preserve">RACH-less handover. The first message in the target cell is </w:t>
      </w:r>
      <w:r>
        <w:rPr>
          <w:lang w:val="en-US"/>
        </w:rPr>
        <w:t>Msg3.</w:t>
      </w:r>
    </w:p>
    <w:p w14:paraId="5D5BA092" w14:textId="5128CDC8" w:rsidR="00BC0C8C" w:rsidRPr="00BC0C8C" w:rsidRDefault="00BC0C8C" w:rsidP="00BC0C8C">
      <w:pPr>
        <w:pStyle w:val="Heading3"/>
      </w:pPr>
      <w:r>
        <w:t>2.1.1</w:t>
      </w:r>
      <w:r>
        <w:tab/>
      </w:r>
      <w:r w:rsidRPr="00B65FCB">
        <w:t>T</w:t>
      </w:r>
      <w:r>
        <w:t xml:space="preserve">iming advance </w:t>
      </w:r>
      <w:r w:rsidRPr="00B65FCB">
        <w:t>for target cell</w:t>
      </w:r>
    </w:p>
    <w:p w14:paraId="1977293A" w14:textId="624DCA6D" w:rsidR="007C4C4E" w:rsidRDefault="00521169" w:rsidP="007C4C4E">
      <w:pPr>
        <w:pStyle w:val="BodyText"/>
      </w:pPr>
      <w:r>
        <w:rPr>
          <w:lang w:val="en-US"/>
        </w:rPr>
        <w:t>Since Msg</w:t>
      </w:r>
      <w:r w:rsidR="007C4C4E">
        <w:rPr>
          <w:lang w:val="en-US"/>
        </w:rPr>
        <w:t xml:space="preserve">3 is the first message transmitted by the UE in the target cell, it is important that an appropriate timing advance (TA) is used to ensure that the gNB can receive Msg3 (PUSCH). </w:t>
      </w:r>
      <w:r w:rsidR="007C4C4E">
        <w:t>In LTE RACH-less HO, there are two possible values for TA in the target cell: either the TA is the same as in the source, or TA=0. Using either of these values limits the usability of RACH-less HO.</w:t>
      </w:r>
    </w:p>
    <w:p w14:paraId="4619FFB1" w14:textId="41548BD3" w:rsidR="00BC0C8C" w:rsidRDefault="00BC0C8C" w:rsidP="007C4C4E">
      <w:pPr>
        <w:pStyle w:val="BodyText"/>
      </w:pPr>
      <w:bookmarkStart w:id="3" w:name="_Hlk4571253"/>
      <w:r>
        <w:t xml:space="preserve">During the LTE RACH-less HO, there was a discussion to allow autonomous update of the TA during HO. In the reply LS </w:t>
      </w:r>
      <w:r>
        <w:fldChar w:fldCharType="begin"/>
      </w:r>
      <w:r>
        <w:instrText xml:space="preserve"> REF _Ref4570526 \r \h </w:instrText>
      </w:r>
      <w:r>
        <w:fldChar w:fldCharType="separate"/>
      </w:r>
      <w:r w:rsidR="00661570">
        <w:t>[6]</w:t>
      </w:r>
      <w:r>
        <w:fldChar w:fldCharType="end"/>
      </w:r>
      <w:r>
        <w:t xml:space="preserve">, RAN4 stated that the </w:t>
      </w:r>
      <w:r w:rsidRPr="00BC0C8C">
        <w:t>legacy accuracy requirements for uplink timing alignment, i.e. the accuracy of TA for initial uplink transmission</w:t>
      </w:r>
      <w:r>
        <w:t xml:space="preserve"> would not suffice to handle the autonomous. Only recently, RAN4 has agreed to allow autonomous update of TA in the beam management context </w:t>
      </w:r>
      <w:r>
        <w:fldChar w:fldCharType="begin"/>
      </w:r>
      <w:r>
        <w:instrText xml:space="preserve"> REF _Ref4570672 \r \h </w:instrText>
      </w:r>
      <w:r>
        <w:fldChar w:fldCharType="separate"/>
      </w:r>
      <w:r w:rsidR="00661570">
        <w:t>[7]</w:t>
      </w:r>
      <w:r>
        <w:fldChar w:fldCharType="end"/>
      </w:r>
      <w:r>
        <w:t>. In this case, the accuracy was deemed acceptable. It would seem that at least in some cases, the RACH-less HO is very similar to a beam switch with respect to timing adjustments.</w:t>
      </w:r>
    </w:p>
    <w:p w14:paraId="3A61B587" w14:textId="6790C1E9" w:rsidR="00BC0C8C" w:rsidRDefault="00BC0C8C" w:rsidP="007C4C4E">
      <w:pPr>
        <w:pStyle w:val="BodyText"/>
      </w:pPr>
      <w:r>
        <w:t>The relation between these two RAN4 statements are no fully clear to us. What is clear is that if RACH-less HO is limited to TA=0 or same TA as in the source cell, the situations where RACH-less handover is applicable would be quite scarce. Therefore, we propose</w:t>
      </w:r>
    </w:p>
    <w:p w14:paraId="6C8C9082" w14:textId="006AC754" w:rsidR="00BC0C8C" w:rsidRDefault="00BC0C8C" w:rsidP="00BC0C8C">
      <w:pPr>
        <w:pStyle w:val="Proposal"/>
      </w:pPr>
      <w:bookmarkStart w:id="4" w:name="_Hlk4571634"/>
      <w:bookmarkStart w:id="5" w:name="_Toc4784284"/>
      <w:bookmarkEnd w:id="3"/>
      <w:r>
        <w:lastRenderedPageBreak/>
        <w:t xml:space="preserve">Further investigate the possibility </w:t>
      </w:r>
      <w:r w:rsidR="00E95677">
        <w:t>for</w:t>
      </w:r>
      <w:r>
        <w:t xml:space="preserve"> the UE to perform autonomous TA adjustment before transmitting Msg3 in the target cell.</w:t>
      </w:r>
      <w:bookmarkEnd w:id="5"/>
    </w:p>
    <w:bookmarkEnd w:id="4"/>
    <w:p w14:paraId="1C6A2CB5" w14:textId="59BD1FD8" w:rsidR="00BC0C8C" w:rsidRDefault="00BC0C8C" w:rsidP="00BC0C8C">
      <w:pPr>
        <w:pStyle w:val="Heading3"/>
      </w:pPr>
      <w:r>
        <w:t>2.1.2</w:t>
      </w:r>
      <w:r>
        <w:tab/>
        <w:t>UL grants configuration and Tx/Rx beam related aspects</w:t>
      </w:r>
    </w:p>
    <w:p w14:paraId="3C51C5F0" w14:textId="77777777" w:rsidR="00BC0C8C" w:rsidRPr="0079562C" w:rsidRDefault="00BC0C8C" w:rsidP="00BC0C8C">
      <w:pPr>
        <w:pStyle w:val="BodyText"/>
      </w:pPr>
      <w:r>
        <w:t>Since there is no Msg2 transmitted in the target cell, the UE must be provided with the UL resources in another way. For LTE, two different ways have been proposed:</w:t>
      </w:r>
    </w:p>
    <w:p w14:paraId="282353A4" w14:textId="77777777" w:rsidR="00BC0C8C" w:rsidRDefault="00BC0C8C" w:rsidP="00BC0C8C">
      <w:pPr>
        <w:pStyle w:val="BodyText"/>
        <w:numPr>
          <w:ilvl w:val="0"/>
          <w:numId w:val="24"/>
        </w:numPr>
        <w:overflowPunct/>
        <w:autoSpaceDE/>
        <w:autoSpaceDN/>
        <w:adjustRightInd/>
        <w:textAlignment w:val="auto"/>
      </w:pPr>
      <w:r>
        <w:t>Preschedule UL resources in the RRC reconfiguration message.</w:t>
      </w:r>
    </w:p>
    <w:p w14:paraId="6E4C910B" w14:textId="77777777" w:rsidR="00BC0C8C" w:rsidRDefault="00BC0C8C" w:rsidP="00BC0C8C">
      <w:pPr>
        <w:pStyle w:val="BodyText"/>
        <w:numPr>
          <w:ilvl w:val="0"/>
          <w:numId w:val="24"/>
        </w:numPr>
        <w:overflowPunct/>
        <w:autoSpaceDE/>
        <w:autoSpaceDN/>
        <w:adjustRightInd/>
        <w:textAlignment w:val="auto"/>
      </w:pPr>
      <w:r>
        <w:t>Dynamically schedule UL resources using PDCCH in target cell</w:t>
      </w:r>
    </w:p>
    <w:p w14:paraId="0A65445E" w14:textId="308E9D0B" w:rsidR="00BC0C8C" w:rsidRDefault="00BC0C8C" w:rsidP="00BC0C8C">
      <w:pPr>
        <w:pStyle w:val="BodyText"/>
      </w:pPr>
      <w:r>
        <w:t>So far, the only identified physical layer aspects are related to the beam formed reception and transmission. This is true for both allocation methods.</w:t>
      </w:r>
    </w:p>
    <w:p w14:paraId="1007B5D5" w14:textId="03B01F53" w:rsidR="004B7717" w:rsidRDefault="00BC0C8C" w:rsidP="00521169">
      <w:pPr>
        <w:pStyle w:val="BodyText"/>
      </w:pPr>
      <w:bookmarkStart w:id="6" w:name="_Hlk4572194"/>
      <w:r>
        <w:t xml:space="preserve">In normal handover, the UE selects the best DL beam based on measurements performed just before the transmission of Msg1. Based on the best DL beam, the UE determines the RACH resource, and its Tx beam. The selected DL reference signal (beam) may be different from the beam(s) that triggered the neighbour cell report. Hence, the NW may not know which RACH resource the UE selects. </w:t>
      </w:r>
      <w:r w:rsidR="004B7717">
        <w:t>To facilitate a gNB implementation based on analogue beamforming, the NW may configure RACH opportunities that are time-multiplexed. The gNB will then sweep its Rx beam during the RACH opportunities. Note that the gNB needs to perform this sweep anyway to support initial access.</w:t>
      </w:r>
    </w:p>
    <w:p w14:paraId="07BE04CA" w14:textId="6028E2F9" w:rsidR="004B7717" w:rsidRDefault="004B7717" w:rsidP="00521169">
      <w:pPr>
        <w:pStyle w:val="BodyText"/>
      </w:pPr>
      <w:r>
        <w:t xml:space="preserve">The question then arises if we should allow the same flexibility for RACH-less handover: should we allow the UE to re-select the DL beam just before transmission of Msg3, and configure several PUSCH resources corresponding to different beams? Clearly, this would require the gNB to use different Rx beams for the different PUSCH resources, leading to additional overhead. In contrast to the time slots reserved for PRACH transmission (which are reused for initial access purposes), the resources reserved for Msg3 cannot be used for anything else. Furthermore, the PUSCH transmissions will most typically use a full slot, in contrast to the PRACH transmissions. </w:t>
      </w:r>
    </w:p>
    <w:p w14:paraId="1B9854A2" w14:textId="56A48578" w:rsidR="004B7717" w:rsidRDefault="004B7717" w:rsidP="00521169">
      <w:pPr>
        <w:pStyle w:val="BodyText"/>
      </w:pPr>
      <w:r>
        <w:t>Based on the above discussion, we propose that the NW signals to the UE which DL reference signal to base its UL transmission, and subsequent DL receptions on. For UL transmission, we reuse the spatial relation framework specified for beam management:</w:t>
      </w:r>
    </w:p>
    <w:p w14:paraId="1C6E2307" w14:textId="77777777" w:rsidR="004B7717" w:rsidRDefault="004B7717" w:rsidP="004B7717">
      <w:pPr>
        <w:pStyle w:val="Proposal"/>
      </w:pPr>
      <w:bookmarkStart w:id="7" w:name="_Toc4567452"/>
      <w:bookmarkStart w:id="8" w:name="_Toc4784285"/>
      <w:r>
        <w:t>To transmit Msg3, the UE shall use a spatial relation defined by a DL RS signalled by the NW.</w:t>
      </w:r>
      <w:bookmarkEnd w:id="7"/>
      <w:bookmarkEnd w:id="8"/>
    </w:p>
    <w:p w14:paraId="00A1374C" w14:textId="560C2F54" w:rsidR="004B7717" w:rsidRDefault="004B7717" w:rsidP="00521169">
      <w:pPr>
        <w:pStyle w:val="BodyText"/>
      </w:pPr>
      <w:r>
        <w:t>For the DL reception, we reuse the QCL framework:</w:t>
      </w:r>
    </w:p>
    <w:p w14:paraId="50BBFA8E" w14:textId="77777777" w:rsidR="004B7717" w:rsidRDefault="004B7717" w:rsidP="004B7717">
      <w:pPr>
        <w:pStyle w:val="Proposal"/>
      </w:pPr>
      <w:bookmarkStart w:id="9" w:name="_Toc4567453"/>
      <w:bookmarkStart w:id="10" w:name="_Toc4784286"/>
      <w:r>
        <w:t xml:space="preserve">Until reconfigured/activated, the UE may assume that all DL signals from the target gNB are </w:t>
      </w:r>
      <w:r w:rsidRPr="00357000">
        <w:t>quasi co-located with respect to QCL-</w:t>
      </w:r>
      <w:proofErr w:type="spellStart"/>
      <w:r w:rsidRPr="00357000">
        <w:t>TypeA</w:t>
      </w:r>
      <w:proofErr w:type="spellEnd"/>
      <w:r w:rsidRPr="00357000">
        <w:t>, and QCL-</w:t>
      </w:r>
      <w:proofErr w:type="spellStart"/>
      <w:r w:rsidRPr="00357000">
        <w:t>TypeD</w:t>
      </w:r>
      <w:proofErr w:type="spellEnd"/>
      <w:r w:rsidRPr="00357000">
        <w:t xml:space="preserve"> properties</w:t>
      </w:r>
      <w:r>
        <w:t xml:space="preserve"> with a DL RS signalled by the NW.</w:t>
      </w:r>
      <w:bookmarkEnd w:id="9"/>
      <w:bookmarkEnd w:id="10"/>
      <w:r>
        <w:t xml:space="preserve"> </w:t>
      </w:r>
    </w:p>
    <w:p w14:paraId="5687E7F6" w14:textId="2DEEDCC2" w:rsidR="004B7717" w:rsidRDefault="004B7717" w:rsidP="004B7717">
      <w:pPr>
        <w:pStyle w:val="BodyText"/>
      </w:pPr>
      <w:r>
        <w:t>Thus, the UE will use the signalled RS both for DL reception and UL transmission.</w:t>
      </w:r>
    </w:p>
    <w:p w14:paraId="3F97C390" w14:textId="0696D484" w:rsidR="004B7717" w:rsidRDefault="004B7717" w:rsidP="004B7717">
      <w:pPr>
        <w:pStyle w:val="BodyText"/>
      </w:pPr>
      <w:r>
        <w:t>Additionally, the signalled DL RS is used as pathloss reference RS in the PUSCH power control:</w:t>
      </w:r>
    </w:p>
    <w:p w14:paraId="6595DD9A" w14:textId="19200A92" w:rsidR="004B7717" w:rsidRDefault="004B7717" w:rsidP="004B7717">
      <w:pPr>
        <w:pStyle w:val="Proposal"/>
      </w:pPr>
      <w:bookmarkStart w:id="11" w:name="_Toc4567454"/>
      <w:bookmarkStart w:id="12" w:name="_Toc4784287"/>
      <w:r>
        <w:t xml:space="preserve">The Msg3 Tx power is determined using the PUSCH power control rules specified in section 7.1.1. in </w:t>
      </w:r>
      <w:r>
        <w:fldChar w:fldCharType="begin"/>
      </w:r>
      <w:r>
        <w:instrText xml:space="preserve"> REF _Ref4574765 \r \h </w:instrText>
      </w:r>
      <w:r>
        <w:fldChar w:fldCharType="separate"/>
      </w:r>
      <w:r w:rsidR="00661570">
        <w:t>[1]</w:t>
      </w:r>
      <w:r>
        <w:fldChar w:fldCharType="end"/>
      </w:r>
      <w:r>
        <w:t xml:space="preserve"> using the RS used for QCL assumptions and spatial relation determination as pathloss reference RS.</w:t>
      </w:r>
      <w:bookmarkEnd w:id="11"/>
      <w:bookmarkEnd w:id="12"/>
    </w:p>
    <w:bookmarkEnd w:id="6"/>
    <w:p w14:paraId="7C24E4BB" w14:textId="187831CA" w:rsidR="004B7717" w:rsidRDefault="004B7717" w:rsidP="004B7717">
      <w:pPr>
        <w:pStyle w:val="BodyText"/>
      </w:pPr>
      <w:r>
        <w:t xml:space="preserve">More details can be found in </w:t>
      </w:r>
      <w:r>
        <w:fldChar w:fldCharType="begin"/>
      </w:r>
      <w:r>
        <w:instrText xml:space="preserve"> REF _Ref4574745 \r \h </w:instrText>
      </w:r>
      <w:r>
        <w:fldChar w:fldCharType="separate"/>
      </w:r>
      <w:r w:rsidR="00661570">
        <w:t>[8]</w:t>
      </w:r>
      <w:r>
        <w:fldChar w:fldCharType="end"/>
      </w:r>
      <w:r>
        <w:t>.</w:t>
      </w:r>
    </w:p>
    <w:p w14:paraId="27334501" w14:textId="17725740" w:rsidR="009D7C4B" w:rsidRDefault="00521169" w:rsidP="00521169">
      <w:pPr>
        <w:pStyle w:val="Heading2"/>
      </w:pPr>
      <w:r>
        <w:t>2.2</w:t>
      </w:r>
      <w:r>
        <w:tab/>
        <w:t>Make-Before-Break and DC-based HO</w:t>
      </w:r>
    </w:p>
    <w:p w14:paraId="74EB0F07" w14:textId="1889DEAF" w:rsidR="009D7C4B" w:rsidRDefault="009D7C4B" w:rsidP="009D7C4B">
      <w:pPr>
        <w:pStyle w:val="BodyText"/>
      </w:pPr>
      <w:r>
        <w:t>RAN2 has agreed to study Make-Before-Break (</w:t>
      </w:r>
      <w:r w:rsidR="00D9187F">
        <w:t>MBB</w:t>
      </w:r>
      <w:r>
        <w:t xml:space="preserve">) solutions to push HO interruption to 0ms. The </w:t>
      </w:r>
      <w:r w:rsidR="00D9187F">
        <w:t>MBB</w:t>
      </w:r>
      <w:r>
        <w:t xml:space="preserve"> solution requires that the UE can simultaneously receive and transmit to more than one cell. In parallel, RAN2 is also studying if dual connectivity (DC) could be used to achieve 0ms delay. Note that </w:t>
      </w:r>
      <w:r w:rsidR="00D9187F">
        <w:t>MBB</w:t>
      </w:r>
      <w:r>
        <w:t xml:space="preserve"> and DC-based HO are two different things: the </w:t>
      </w:r>
      <w:r w:rsidR="00D9187F">
        <w:t>MBB</w:t>
      </w:r>
      <w:r>
        <w:t xml:space="preserve"> solutions may not rely on the signalling defined for dual connectivity.</w:t>
      </w:r>
    </w:p>
    <w:p w14:paraId="78AC6D4F" w14:textId="3D87CE24" w:rsidR="009D7C4B" w:rsidRDefault="009D7C4B" w:rsidP="009D7C4B">
      <w:pPr>
        <w:pStyle w:val="BodyText"/>
      </w:pPr>
      <w:r>
        <w:t xml:space="preserve">From a L1 point of view, the </w:t>
      </w:r>
      <w:r w:rsidR="00D9187F">
        <w:t>MBB</w:t>
      </w:r>
      <w:r>
        <w:t xml:space="preserve"> solution and DC-based HO is quite similar, since they both require that the UE can communicate with two cells at the same time. The source and target cells may be on the same or on different carriers. Note that for the DC-based solutions, the two cells involved in the HO are the PCell and the </w:t>
      </w:r>
      <w:proofErr w:type="spellStart"/>
      <w:r>
        <w:t>PSCell</w:t>
      </w:r>
      <w:proofErr w:type="spellEnd"/>
      <w:r>
        <w:t>, which are both source cells, but for simplicity, we will use the terms ‘source’ and ‘target’ throughout this contribution.</w:t>
      </w:r>
    </w:p>
    <w:p w14:paraId="537B53B7" w14:textId="1F6E7959" w:rsidR="00521169" w:rsidRDefault="009D7C4B" w:rsidP="009D7C4B">
      <w:pPr>
        <w:pStyle w:val="BodyText"/>
      </w:pPr>
      <w:r>
        <w:lastRenderedPageBreak/>
        <w:t xml:space="preserve">Simultaneous reception from several TRPs on the same carrier from the same cell or different cells, has been discussed in the </w:t>
      </w:r>
      <w:proofErr w:type="spellStart"/>
      <w:r>
        <w:t>eMIMO</w:t>
      </w:r>
      <w:proofErr w:type="spellEnd"/>
      <w:r>
        <w:t xml:space="preserve"> WID, as part of the multi-DCI solutions for multi-TRP communication. Some of the agreements made during that discussion are relevant also here: the technical issues are identical.</w:t>
      </w:r>
      <w:r w:rsidR="00521169">
        <w:t xml:space="preserve"> </w:t>
      </w:r>
    </w:p>
    <w:p w14:paraId="5E25A828" w14:textId="6D06A643" w:rsidR="002B2E91" w:rsidRDefault="002B2E91" w:rsidP="00465510">
      <w:pPr>
        <w:pStyle w:val="Heading3"/>
      </w:pPr>
      <w:r>
        <w:t>2.</w:t>
      </w:r>
      <w:r w:rsidR="00465510">
        <w:t>2.</w:t>
      </w:r>
      <w:r>
        <w:t>1</w:t>
      </w:r>
      <w:r>
        <w:tab/>
        <w:t>Simultaneous reception/transmission</w:t>
      </w:r>
    </w:p>
    <w:p w14:paraId="03B75397" w14:textId="0EA22B39" w:rsidR="00BB1745" w:rsidRDefault="002B2E91" w:rsidP="00BB1745">
      <w:pPr>
        <w:pStyle w:val="BodyText"/>
      </w:pPr>
      <w:r>
        <w:t xml:space="preserve">The feasibility of simultaneous reception/transmission was discussed for LTE in the recent RAN1 reply LS </w:t>
      </w:r>
      <w:r>
        <w:fldChar w:fldCharType="begin"/>
      </w:r>
      <w:r>
        <w:instrText xml:space="preserve"> REF _Ref4398393 \r \h </w:instrText>
      </w:r>
      <w:r>
        <w:fldChar w:fldCharType="separate"/>
      </w:r>
      <w:r w:rsidR="00661570">
        <w:t>[9]</w:t>
      </w:r>
      <w:r>
        <w:fldChar w:fldCharType="end"/>
      </w:r>
      <w:r>
        <w:t>. In summary, RAN1 stated that simultaneous reception/transmission was feasible under some circumstances for most cases, with the important exceptions inter-frequency/intra-band and intra-frequency asynchronous deployments, where RAN1 could not conclude. RAN4 provided a</w:t>
      </w:r>
      <w:r w:rsidR="00E230EA">
        <w:t xml:space="preserve"> similar response in </w:t>
      </w:r>
      <w:r w:rsidR="00BB1745">
        <w:fldChar w:fldCharType="begin"/>
      </w:r>
      <w:r w:rsidR="00BB1745">
        <w:instrText xml:space="preserve"> REF _Ref4407715 \r \h </w:instrText>
      </w:r>
      <w:r w:rsidR="00BB1745">
        <w:fldChar w:fldCharType="separate"/>
      </w:r>
      <w:r w:rsidR="00661570">
        <w:t>[10]</w:t>
      </w:r>
      <w:r w:rsidR="00BB1745">
        <w:fldChar w:fldCharType="end"/>
      </w:r>
      <w:r w:rsidR="00BB1745">
        <w:t>, with additional details on bandwidth of the source and target cell. RAN4 also makes the distinction of single or dual FFTs and discusses the Tx power difference and UL timing.</w:t>
      </w:r>
    </w:p>
    <w:p w14:paraId="124E2909" w14:textId="6728CDB0" w:rsidR="00BB1745" w:rsidRDefault="00BB1745" w:rsidP="00BB1745">
      <w:pPr>
        <w:pStyle w:val="BodyText"/>
      </w:pPr>
      <w:r>
        <w:t xml:space="preserve">There is also the reply LS </w:t>
      </w:r>
      <w:r>
        <w:fldChar w:fldCharType="begin"/>
      </w:r>
      <w:r>
        <w:instrText xml:space="preserve"> REF _Ref4408250 \r \h </w:instrText>
      </w:r>
      <w:r>
        <w:fldChar w:fldCharType="separate"/>
      </w:r>
      <w:r w:rsidR="00661570">
        <w:t>[11]</w:t>
      </w:r>
      <w:r>
        <w:fldChar w:fldCharType="end"/>
      </w:r>
      <w:r>
        <w:t>, which discusses the same topic. Here, there is also additional statements that dual RF chains is not a typical implementation. Furthermore, FR2 is discussed, and RAN4 states that simultaneous Rx/Tx from two intra-frequency cells is not feasible.</w:t>
      </w:r>
    </w:p>
    <w:p w14:paraId="4F21FF38" w14:textId="77777777" w:rsidR="00BB1745" w:rsidRDefault="00BB1745" w:rsidP="00BB1745">
      <w:pPr>
        <w:pStyle w:val="BodyText"/>
      </w:pPr>
      <w:r>
        <w:t xml:space="preserve">Overall, seems difficult to draw conclusions on the feasibility of simultaneous Rx/Tx in general. However, for the important intra-frequency case, there has been some progress in the </w:t>
      </w:r>
      <w:proofErr w:type="spellStart"/>
      <w:r>
        <w:t>eMIMO</w:t>
      </w:r>
      <w:proofErr w:type="spellEnd"/>
      <w:r>
        <w:t xml:space="preserve"> work, </w:t>
      </w:r>
      <w:proofErr w:type="gramStart"/>
      <w:r>
        <w:t>in particular for</w:t>
      </w:r>
      <w:proofErr w:type="gramEnd"/>
      <w:r>
        <w:t xml:space="preserve"> the multi-TRP, multi-DCI topic. In our understanding, the situations are very similar:</w:t>
      </w:r>
    </w:p>
    <w:p w14:paraId="5DD71F8D" w14:textId="683A49E1" w:rsidR="00BB1745" w:rsidRDefault="00BB1745" w:rsidP="00BB1745">
      <w:pPr>
        <w:pStyle w:val="Observation"/>
      </w:pPr>
      <w:bookmarkStart w:id="13" w:name="_Toc4414723"/>
      <w:bookmarkStart w:id="14" w:name="_Toc4784278"/>
      <w:r>
        <w:t xml:space="preserve">Simultaneous Rx/Tx required for intra-frequency </w:t>
      </w:r>
      <w:r w:rsidR="00D9187F">
        <w:t>MBB</w:t>
      </w:r>
      <w:r>
        <w:t xml:space="preserve"> and DC-based HO is equivalent to the simultaneous Rx/Tx required for multi-TRP Rx/Tx using multiple PDCCH.</w:t>
      </w:r>
      <w:bookmarkEnd w:id="13"/>
      <w:bookmarkEnd w:id="14"/>
    </w:p>
    <w:p w14:paraId="3520D3A0" w14:textId="7E523237" w:rsidR="00BB1745" w:rsidRDefault="00BB1745" w:rsidP="00BB1745">
      <w:pPr>
        <w:pStyle w:val="BodyText"/>
      </w:pPr>
      <w:r>
        <w:t xml:space="preserve">In the </w:t>
      </w:r>
      <w:proofErr w:type="spellStart"/>
      <w:r>
        <w:t>eMIMO</w:t>
      </w:r>
      <w:proofErr w:type="spellEnd"/>
      <w:r>
        <w:t xml:space="preserve"> work, some agreements have been made. A reasonable interpretation </w:t>
      </w:r>
      <w:r w:rsidR="00465510">
        <w:t xml:space="preserve">of these agreements </w:t>
      </w:r>
      <w:r>
        <w:t>is that simultaneous PDSCH reception and simultaneous PUCCH transmission would require synchronous deployments</w:t>
      </w:r>
      <w:r w:rsidR="00465510">
        <w:t xml:space="preserve"> where the TRPs (cells) are coordinated to some level:</w:t>
      </w:r>
    </w:p>
    <w:p w14:paraId="33BF4011" w14:textId="77777777" w:rsidR="00465510" w:rsidRDefault="00465510" w:rsidP="00465510">
      <w:pPr>
        <w:pStyle w:val="Observation"/>
      </w:pPr>
      <w:bookmarkStart w:id="15" w:name="_Toc4414726"/>
      <w:bookmarkStart w:id="16" w:name="_Toc4784279"/>
      <w:r>
        <w:t>UE designs for multi-TRP using multiple PDCCHs will require synchronous deployments where the TRPs are coordinated to some level.</w:t>
      </w:r>
      <w:bookmarkEnd w:id="15"/>
      <w:bookmarkEnd w:id="16"/>
    </w:p>
    <w:p w14:paraId="416F863F" w14:textId="10BD9E6E" w:rsidR="00465510" w:rsidRDefault="00465510" w:rsidP="00465510">
      <w:pPr>
        <w:pStyle w:val="BodyText"/>
      </w:pPr>
      <w:r>
        <w:t xml:space="preserve">In our understanding, the restrictions agreed to multi-TRP using multiple PDCCHs will be relevant also for intra-frequency </w:t>
      </w:r>
      <w:r w:rsidR="00D9187F">
        <w:t>MBB</w:t>
      </w:r>
      <w:r>
        <w:t xml:space="preserve"> and DC-based HO solutions that require simultaneous Rx/Tx. Thus, it does not seem realistic to assume that the restrictions for simultaneous Rx/Tx related to intra-frequency </w:t>
      </w:r>
      <w:r w:rsidR="00D9187F">
        <w:t>MBB</w:t>
      </w:r>
      <w:r>
        <w:t xml:space="preserve"> and DC-based HO will be less strict than those applicable for multi-TRP transmission. Thus,</w:t>
      </w:r>
    </w:p>
    <w:p w14:paraId="6E7DF38E" w14:textId="4FEAC7D5" w:rsidR="00465510" w:rsidRPr="00A471E3" w:rsidRDefault="00465510" w:rsidP="00465510">
      <w:pPr>
        <w:pStyle w:val="Observation"/>
      </w:pPr>
      <w:bookmarkStart w:id="17" w:name="_Toc4414727"/>
      <w:bookmarkStart w:id="18" w:name="_Toc4784280"/>
      <w:r>
        <w:t xml:space="preserve">Simultaneous Rx/Tx for intra-frequency </w:t>
      </w:r>
      <w:r w:rsidR="00D9187F">
        <w:t>MBB</w:t>
      </w:r>
      <w:r>
        <w:t xml:space="preserve"> and DC-based HO are associated with restrictions in network deployment.</w:t>
      </w:r>
      <w:bookmarkEnd w:id="17"/>
      <w:bookmarkEnd w:id="18"/>
    </w:p>
    <w:p w14:paraId="70F5722A" w14:textId="77777777" w:rsidR="00465510" w:rsidRDefault="00465510" w:rsidP="00465510">
      <w:pPr>
        <w:pStyle w:val="BodyText"/>
      </w:pPr>
      <w:r>
        <w:t>So far, the multi-TRP discussion has been limited to a few channels, and FR2 has been discussed to a very small extent. However, it is foreseen that more channels will be discussed before the completion of the WI. There seems to be little reason to discuss intra-frequency simultaneous Rx/Tx in the mobility WI in RAN1: the conclusions from the multi-TRP can be used as is:</w:t>
      </w:r>
    </w:p>
    <w:p w14:paraId="13299E89" w14:textId="2B81F568" w:rsidR="00465510" w:rsidRDefault="00465510" w:rsidP="00465510">
      <w:pPr>
        <w:pStyle w:val="Proposal"/>
      </w:pPr>
      <w:bookmarkStart w:id="19" w:name="_Toc4414730"/>
      <w:bookmarkStart w:id="20" w:name="_Toc4784288"/>
      <w:r>
        <w:t xml:space="preserve">The feasibility for simultaneous Rx/Tx for intra-frequency </w:t>
      </w:r>
      <w:r w:rsidR="00D9187F">
        <w:t>MBB</w:t>
      </w:r>
      <w:r>
        <w:t xml:space="preserve"> and DC-based HO can be based on the agreements from the multi-TRP work.</w:t>
      </w:r>
      <w:bookmarkEnd w:id="19"/>
      <w:bookmarkEnd w:id="20"/>
    </w:p>
    <w:p w14:paraId="3DD7BB3B" w14:textId="440776F5" w:rsidR="00465510" w:rsidRDefault="00465510" w:rsidP="00BB1745">
      <w:pPr>
        <w:pStyle w:val="BodyText"/>
      </w:pPr>
      <w:r>
        <w:t xml:space="preserve">For cases not applicable to the multi-TRP discussion, i.e., inter-frequency or even inter-band, further studies may be needed, but based on the information in </w:t>
      </w:r>
      <w:r>
        <w:fldChar w:fldCharType="begin"/>
      </w:r>
      <w:r>
        <w:instrText xml:space="preserve"> REF _Ref4398393 \r \h </w:instrText>
      </w:r>
      <w:r>
        <w:fldChar w:fldCharType="separate"/>
      </w:r>
      <w:r w:rsidR="00661570">
        <w:t>[9]</w:t>
      </w:r>
      <w:r>
        <w:fldChar w:fldCharType="end"/>
      </w:r>
      <w:r>
        <w:fldChar w:fldCharType="begin"/>
      </w:r>
      <w:r>
        <w:instrText xml:space="preserve"> REF _Ref4407715 \r \h </w:instrText>
      </w:r>
      <w:r>
        <w:fldChar w:fldCharType="separate"/>
      </w:r>
      <w:r w:rsidR="00661570">
        <w:t>[10]</w:t>
      </w:r>
      <w:r>
        <w:fldChar w:fldCharType="end"/>
      </w:r>
      <w:r>
        <w:fldChar w:fldCharType="begin"/>
      </w:r>
      <w:r>
        <w:instrText xml:space="preserve"> REF _Ref4408250 \r \h </w:instrText>
      </w:r>
      <w:r>
        <w:fldChar w:fldCharType="separate"/>
      </w:r>
      <w:r w:rsidR="00661570">
        <w:t>[11]</w:t>
      </w:r>
      <w:r>
        <w:fldChar w:fldCharType="end"/>
      </w:r>
      <w:r>
        <w:t xml:space="preserve">, it seems premature to state that simultaneous Rx/Tx is possible in the majority of cases. </w:t>
      </w:r>
    </w:p>
    <w:p w14:paraId="64E0D3C7" w14:textId="4FB5D884" w:rsidR="00465510" w:rsidRDefault="00BB1745" w:rsidP="00BB1745">
      <w:pPr>
        <w:pStyle w:val="BodyText"/>
      </w:pPr>
      <w:r>
        <w:t xml:space="preserve">A more comprehensive discussion can be found in </w:t>
      </w:r>
      <w:r>
        <w:fldChar w:fldCharType="begin"/>
      </w:r>
      <w:r>
        <w:instrText xml:space="preserve"> REF _Ref4579620 \r \h </w:instrText>
      </w:r>
      <w:r>
        <w:fldChar w:fldCharType="separate"/>
      </w:r>
      <w:r w:rsidR="00661570">
        <w:t>[12]</w:t>
      </w:r>
      <w:r>
        <w:fldChar w:fldCharType="end"/>
      </w:r>
      <w:r w:rsidR="00465510">
        <w:t>.</w:t>
      </w:r>
    </w:p>
    <w:p w14:paraId="5C966FDC" w14:textId="24386A3A" w:rsidR="00BB1745" w:rsidRDefault="00BB1745" w:rsidP="00465510">
      <w:pPr>
        <w:pStyle w:val="Heading3"/>
      </w:pPr>
      <w:r>
        <w:t xml:space="preserve"> </w:t>
      </w:r>
      <w:r w:rsidR="00465510">
        <w:t>2.2.2</w:t>
      </w:r>
      <w:r w:rsidR="00465510">
        <w:tab/>
        <w:t>Rx/Tx beam aspects</w:t>
      </w:r>
    </w:p>
    <w:p w14:paraId="4FC83B51" w14:textId="5317AAA0" w:rsidR="001E71CD" w:rsidRDefault="001E71CD" w:rsidP="001E71CD">
      <w:pPr>
        <w:pStyle w:val="BodyText"/>
      </w:pPr>
      <w:r>
        <w:t xml:space="preserve">Beam aspects were brought up for discussion and included in the conclusion from RAN1#96. However, it is not fully clear what is meant by </w:t>
      </w:r>
      <w:r w:rsidR="00045797">
        <w:t>‘</w:t>
      </w:r>
      <w:r>
        <w:t xml:space="preserve">beam </w:t>
      </w:r>
      <w:proofErr w:type="gramStart"/>
      <w:r>
        <w:t>aspects</w:t>
      </w:r>
      <w:r w:rsidR="00045797">
        <w:t>’</w:t>
      </w:r>
      <w:proofErr w:type="gramEnd"/>
      <w:r>
        <w:t xml:space="preserve">. In this context, we make the interpretation that beam operation implies FR2 operation: </w:t>
      </w:r>
    </w:p>
    <w:p w14:paraId="24E5E53B" w14:textId="118FE470" w:rsidR="001E71CD" w:rsidRDefault="001E71CD" w:rsidP="001E71CD">
      <w:pPr>
        <w:pStyle w:val="Observation"/>
      </w:pPr>
      <w:bookmarkStart w:id="21" w:name="_Toc4784281"/>
      <w:r>
        <w:t xml:space="preserve">In the context of </w:t>
      </w:r>
      <w:r w:rsidR="00D9187F">
        <w:t>MBB</w:t>
      </w:r>
      <w:r>
        <w:t xml:space="preserve"> and DC-based HO, beam based operation is equivalent to FR2 operation.</w:t>
      </w:r>
      <w:bookmarkEnd w:id="21"/>
    </w:p>
    <w:p w14:paraId="03B41787" w14:textId="00FDDE35" w:rsidR="001E71CD" w:rsidRDefault="001E71CD" w:rsidP="001E71CD">
      <w:pPr>
        <w:pStyle w:val="BodyText"/>
      </w:pPr>
      <w:r>
        <w:t xml:space="preserve">Although the UE may use beams also in FR1, the beam-based operation will have no impact on the system as the UE is still capable of omni-directional reception in FR1. </w:t>
      </w:r>
    </w:p>
    <w:p w14:paraId="3494A036" w14:textId="4BD4164C" w:rsidR="00FF18C2" w:rsidRDefault="001E71CD" w:rsidP="00FF18C2">
      <w:pPr>
        <w:pStyle w:val="BodyText"/>
      </w:pPr>
      <w:r>
        <w:lastRenderedPageBreak/>
        <w:t xml:space="preserve">In the reply LS </w:t>
      </w:r>
      <w:r>
        <w:fldChar w:fldCharType="begin"/>
      </w:r>
      <w:r>
        <w:instrText xml:space="preserve"> REF _Ref4407715 \r \h </w:instrText>
      </w:r>
      <w:r>
        <w:fldChar w:fldCharType="separate"/>
      </w:r>
      <w:r w:rsidR="00661570">
        <w:t>[10]</w:t>
      </w:r>
      <w:r>
        <w:fldChar w:fldCharType="end"/>
      </w:r>
      <w:r>
        <w:t xml:space="preserve">, RAN4 stated that </w:t>
      </w:r>
      <w:r w:rsidR="00045797">
        <w:t>the possibility for simultaneous Rx/Tx is more restricted in FR2 than in FR1</w:t>
      </w:r>
      <w:r w:rsidR="00FF18C2">
        <w:t xml:space="preserve">. If the statements in the LS remain, </w:t>
      </w:r>
      <w:r w:rsidR="00D9187F">
        <w:t>MBB</w:t>
      </w:r>
      <w:r w:rsidR="00FF18C2">
        <w:t xml:space="preserve"> and DC-based HO solutions are not applicable in FR2, and there </w:t>
      </w:r>
      <w:bookmarkStart w:id="22" w:name="_Hlk4413042"/>
      <w:r w:rsidR="00FF18C2">
        <w:t xml:space="preserve">are no beam related aspects to </w:t>
      </w:r>
      <w:r w:rsidR="00D9187F">
        <w:t>MBB</w:t>
      </w:r>
      <w:r w:rsidR="00FF18C2">
        <w:t xml:space="preserve"> and DC-based HO solutions</w:t>
      </w:r>
      <w:bookmarkEnd w:id="22"/>
      <w:r w:rsidR="00FF18C2">
        <w:t>:</w:t>
      </w:r>
    </w:p>
    <w:p w14:paraId="44D30A57" w14:textId="3BD68A43" w:rsidR="00FF18C2" w:rsidRDefault="00FF18C2" w:rsidP="00FF18C2">
      <w:pPr>
        <w:pStyle w:val="Observation"/>
      </w:pPr>
      <w:bookmarkStart w:id="23" w:name="_Toc4414728"/>
      <w:bookmarkStart w:id="24" w:name="_Toc4784282"/>
      <w:r>
        <w:t>If simultaneous Rx/Tx is not feasible in FR2, there are</w:t>
      </w:r>
      <w:r w:rsidRPr="009B560B">
        <w:t xml:space="preserve"> no beam related aspects to </w:t>
      </w:r>
      <w:r w:rsidR="00D9187F">
        <w:t>MBB</w:t>
      </w:r>
      <w:r w:rsidRPr="009B560B">
        <w:t xml:space="preserve"> and DC-based HO solutions</w:t>
      </w:r>
      <w:r>
        <w:t>.</w:t>
      </w:r>
      <w:bookmarkEnd w:id="23"/>
      <w:bookmarkEnd w:id="24"/>
    </w:p>
    <w:p w14:paraId="54AA3BCD" w14:textId="095023B5" w:rsidR="00FF18C2" w:rsidRDefault="00FF18C2" w:rsidP="00FF18C2">
      <w:pPr>
        <w:pStyle w:val="BodyText"/>
      </w:pPr>
      <w:r>
        <w:t xml:space="preserve">If on the other hand the RAN4 statement is updated, so that simultaneous Rx/Tx is indeed feasible in FR2, there will be a need to maintain separate beam pair links between the UE and each TRP. </w:t>
      </w:r>
      <w:proofErr w:type="gramStart"/>
      <w:r>
        <w:t>Also</w:t>
      </w:r>
      <w:proofErr w:type="gramEnd"/>
      <w:r>
        <w:t xml:space="preserve"> in this case, the work on multi-TRP will provide the necessary input to the mobility WID:</w:t>
      </w:r>
    </w:p>
    <w:p w14:paraId="21C51AA4" w14:textId="2A40EA89" w:rsidR="00FF18C2" w:rsidRDefault="00FF18C2" w:rsidP="00FF18C2">
      <w:pPr>
        <w:pStyle w:val="Proposal"/>
      </w:pPr>
      <w:bookmarkStart w:id="25" w:name="_Toc4414732"/>
      <w:bookmarkStart w:id="26" w:name="_Toc4784289"/>
      <w:r>
        <w:t xml:space="preserve">Beam related aspects of intra-frequency </w:t>
      </w:r>
      <w:r w:rsidR="00D9187F">
        <w:t>MBB</w:t>
      </w:r>
      <w:r>
        <w:t xml:space="preserve"> and DC-based HO solutions are described in the multi-TRP work, and any agreements and solutions are reused in the mobility work.</w:t>
      </w:r>
      <w:bookmarkEnd w:id="25"/>
      <w:bookmarkEnd w:id="26"/>
    </w:p>
    <w:p w14:paraId="10A8857C" w14:textId="2E732E8F" w:rsidR="00C2367F" w:rsidRDefault="00C2367F" w:rsidP="001E71CD">
      <w:pPr>
        <w:pStyle w:val="BodyText"/>
      </w:pPr>
      <w:r>
        <w:t xml:space="preserve">Due to the </w:t>
      </w:r>
      <w:proofErr w:type="spellStart"/>
      <w:r>
        <w:t>analog</w:t>
      </w:r>
      <w:proofErr w:type="spellEnd"/>
      <w:r>
        <w:t xml:space="preserve"> front-end, the beam related aspects for intra-</w:t>
      </w:r>
      <w:proofErr w:type="gramStart"/>
      <w:r>
        <w:t>band ,inter</w:t>
      </w:r>
      <w:proofErr w:type="gramEnd"/>
      <w:r>
        <w:t xml:space="preserve">-frequency can also be reused from the </w:t>
      </w:r>
      <w:proofErr w:type="spellStart"/>
      <w:r>
        <w:t>multi.TRP</w:t>
      </w:r>
      <w:proofErr w:type="spellEnd"/>
      <w:r>
        <w:t xml:space="preserve"> work. This leaves the inter-frequency, inter-band case. Here it becomes necessary to perform independent beam management for the source and target cells during the transition period. For the DC-based solution, this should be relatively straightforward, since the PCell and </w:t>
      </w:r>
      <w:proofErr w:type="spellStart"/>
      <w:r>
        <w:t>PSCell</w:t>
      </w:r>
      <w:proofErr w:type="spellEnd"/>
      <w:r>
        <w:t xml:space="preserve"> are already established entities in the UE.</w:t>
      </w:r>
      <w:r w:rsidR="00D9187F" w:rsidRPr="00D9187F">
        <w:t xml:space="preserve"> </w:t>
      </w:r>
      <w:r w:rsidR="00D9187F">
        <w:t>In the MBB solution, there is a need to establish a way to perform beam management procedures independently for the source and target.</w:t>
      </w:r>
    </w:p>
    <w:p w14:paraId="0898227A" w14:textId="14F3EE7C" w:rsidR="001E71CD" w:rsidRPr="001E71CD" w:rsidRDefault="00C2367F" w:rsidP="001E71CD">
      <w:pPr>
        <w:pStyle w:val="BodyText"/>
      </w:pPr>
      <w:r>
        <w:t xml:space="preserve">A more comprehensive discussion can be found in </w:t>
      </w:r>
      <w:r>
        <w:fldChar w:fldCharType="begin"/>
      </w:r>
      <w:r>
        <w:instrText xml:space="preserve"> REF _Ref4579620 \r \h </w:instrText>
      </w:r>
      <w:r>
        <w:fldChar w:fldCharType="separate"/>
      </w:r>
      <w:r w:rsidR="00661570">
        <w:t>[12]</w:t>
      </w:r>
      <w:r>
        <w:fldChar w:fldCharType="end"/>
      </w:r>
      <w:r>
        <w:t>.</w:t>
      </w:r>
    </w:p>
    <w:p w14:paraId="7CD9952E" w14:textId="0CC57E6B" w:rsidR="00521169" w:rsidRDefault="00521169" w:rsidP="00521169">
      <w:pPr>
        <w:pStyle w:val="Heading2"/>
      </w:pPr>
      <w:r>
        <w:t>2.3</w:t>
      </w:r>
      <w:r>
        <w:tab/>
        <w:t xml:space="preserve">Lower-layer mobility enhancements </w:t>
      </w:r>
    </w:p>
    <w:p w14:paraId="4EB25AA9" w14:textId="77777777" w:rsidR="0035425A" w:rsidRDefault="0035425A" w:rsidP="0035425A">
      <w:pPr>
        <w:pStyle w:val="BodyText"/>
      </w:pPr>
      <w:r>
        <w:t xml:space="preserve">Already early during the Rel-15 standardization, it was agreed that NR would support two types of mobility: </w:t>
      </w:r>
    </w:p>
    <w:p w14:paraId="2B4CF185" w14:textId="77777777" w:rsidR="0035425A" w:rsidRDefault="0035425A" w:rsidP="0035425A">
      <w:pPr>
        <w:pStyle w:val="BodyText"/>
        <w:numPr>
          <w:ilvl w:val="0"/>
          <w:numId w:val="25"/>
        </w:numPr>
      </w:pPr>
      <w:r>
        <w:t>Mobility without RRC involvement</w:t>
      </w:r>
    </w:p>
    <w:p w14:paraId="41DA32EA" w14:textId="77777777" w:rsidR="0035425A" w:rsidRDefault="0035425A" w:rsidP="0035425A">
      <w:pPr>
        <w:pStyle w:val="BodyText"/>
        <w:numPr>
          <w:ilvl w:val="0"/>
          <w:numId w:val="25"/>
        </w:numPr>
      </w:pPr>
      <w:r>
        <w:t>Mobility with RRC involvement</w:t>
      </w:r>
    </w:p>
    <w:p w14:paraId="6AE00C4D" w14:textId="77777777" w:rsidR="0035425A" w:rsidRDefault="0035425A" w:rsidP="0035425A">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p w14:paraId="5B0FA738" w14:textId="74C362AA" w:rsidR="005A17E2" w:rsidRDefault="0035425A" w:rsidP="005A17E2">
      <w:pPr>
        <w:pStyle w:val="BodyText"/>
      </w:pPr>
      <w:r>
        <w:t>Mobility without RRC involvement is also known as beam management. Although designed for a scenario where one TRP generates several narrow beams, it is equally a</w:t>
      </w:r>
      <w:r w:rsidR="005936B8">
        <w:t>pplicable to a multi-TRP cell as depicted in</w:t>
      </w:r>
      <w:r w:rsidR="005A17E2">
        <w:t xml:space="preserve"> </w:t>
      </w:r>
      <w:r w:rsidR="005A17E2">
        <w:fldChar w:fldCharType="begin"/>
      </w:r>
      <w:r w:rsidR="005A17E2">
        <w:instrText xml:space="preserve"> REF _Ref4587195 \h </w:instrText>
      </w:r>
      <w:r w:rsidR="005A17E2">
        <w:fldChar w:fldCharType="separate"/>
      </w:r>
      <w:r w:rsidR="00661570" w:rsidRPr="00CE0424">
        <w:t xml:space="preserve">Figure </w:t>
      </w:r>
      <w:r w:rsidR="00661570">
        <w:rPr>
          <w:noProof/>
        </w:rPr>
        <w:t>2</w:t>
      </w:r>
      <w:r w:rsidR="005A17E2">
        <w:fldChar w:fldCharType="end"/>
      </w:r>
      <w:r w:rsidR="005A17E2">
        <w:t>.</w:t>
      </w:r>
    </w:p>
    <w:p w14:paraId="2A14D91A" w14:textId="1606DA03" w:rsidR="00521169" w:rsidRPr="00521169" w:rsidRDefault="00257E4B" w:rsidP="0035425A">
      <w:pPr>
        <w:pStyle w:val="BodyText"/>
      </w:pPr>
      <w:r>
        <w:t>.</w:t>
      </w:r>
    </w:p>
    <w:p w14:paraId="1AF909C9" w14:textId="77777777" w:rsidR="00C645F5" w:rsidRDefault="00C645F5" w:rsidP="005936B8">
      <w:pPr>
        <w:pStyle w:val="TF"/>
      </w:pPr>
      <w:bookmarkStart w:id="27" w:name="_Ref4584220"/>
      <w:r>
        <w:rPr>
          <w:noProof/>
        </w:rPr>
        <w:drawing>
          <wp:inline distT="0" distB="0" distL="0" distR="0" wp14:anchorId="186348E1" wp14:editId="17D6540B">
            <wp:extent cx="2371725" cy="24926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pscenario4.png"/>
                    <pic:cNvPicPr/>
                  </pic:nvPicPr>
                  <pic:blipFill>
                    <a:blip r:embed="rId12">
                      <a:extLst>
                        <a:ext uri="{28A0092B-C50C-407E-A947-70E740481C1C}">
                          <a14:useLocalDpi xmlns:a14="http://schemas.microsoft.com/office/drawing/2010/main" val="0"/>
                        </a:ext>
                      </a:extLst>
                    </a:blip>
                    <a:stretch>
                      <a:fillRect/>
                    </a:stretch>
                  </pic:blipFill>
                  <pic:spPr>
                    <a:xfrm>
                      <a:off x="0" y="0"/>
                      <a:ext cx="2375694" cy="2496859"/>
                    </a:xfrm>
                    <a:prstGeom prst="rect">
                      <a:avLst/>
                    </a:prstGeom>
                  </pic:spPr>
                </pic:pic>
              </a:graphicData>
            </a:graphic>
          </wp:inline>
        </w:drawing>
      </w:r>
    </w:p>
    <w:p w14:paraId="1A7DCB1E" w14:textId="69D1AC5D" w:rsidR="005936B8" w:rsidRPr="00C645F5" w:rsidRDefault="005936B8" w:rsidP="005936B8">
      <w:pPr>
        <w:pStyle w:val="TF"/>
        <w:rPr>
          <w:lang w:val="en-US"/>
        </w:rPr>
      </w:pPr>
      <w:bookmarkStart w:id="28" w:name="_Ref4587195"/>
      <w:r w:rsidRPr="00CE0424">
        <w:t xml:space="preserve">Figure </w:t>
      </w:r>
      <w:r>
        <w:rPr>
          <w:noProof/>
        </w:rPr>
        <w:fldChar w:fldCharType="begin"/>
      </w:r>
      <w:r>
        <w:rPr>
          <w:noProof/>
        </w:rPr>
        <w:instrText xml:space="preserve"> SEQ Figure \* ARABIC </w:instrText>
      </w:r>
      <w:r>
        <w:rPr>
          <w:noProof/>
        </w:rPr>
        <w:fldChar w:fldCharType="separate"/>
      </w:r>
      <w:r w:rsidR="00661570">
        <w:rPr>
          <w:noProof/>
        </w:rPr>
        <w:t>2</w:t>
      </w:r>
      <w:r>
        <w:rPr>
          <w:noProof/>
        </w:rPr>
        <w:fldChar w:fldCharType="end"/>
      </w:r>
      <w:bookmarkEnd w:id="27"/>
      <w:bookmarkEnd w:id="28"/>
      <w:r w:rsidRPr="00CE0424">
        <w:t xml:space="preserve">: </w:t>
      </w:r>
      <w:r w:rsidR="00C645F5" w:rsidRPr="00C645F5">
        <w:rPr>
          <w:lang w:val="en-US"/>
        </w:rPr>
        <w:t>A multi-TRP cell</w:t>
      </w:r>
      <w:r w:rsidR="00C645F5">
        <w:rPr>
          <w:lang w:val="en-US"/>
        </w:rPr>
        <w:t xml:space="preserve">. All TRPs transmit the same SS/PBCH block(s). The UE performs intra-cell mobility, and the NW </w:t>
      </w:r>
      <w:r w:rsidR="003C6CEC">
        <w:rPr>
          <w:lang w:val="en-US"/>
        </w:rPr>
        <w:t xml:space="preserve">tracks the UE using either UL </w:t>
      </w:r>
      <w:r w:rsidR="00257E4B">
        <w:rPr>
          <w:lang w:val="en-US"/>
        </w:rPr>
        <w:t>receptions or measurements on CSI-RS.</w:t>
      </w:r>
      <w:r w:rsidR="009307EC">
        <w:rPr>
          <w:lang w:val="en-US"/>
        </w:rPr>
        <w:t xml:space="preserve"> RRC reconfigurations are not needed to handle the mobility.</w:t>
      </w:r>
    </w:p>
    <w:p w14:paraId="6498D05F" w14:textId="4685DD12" w:rsidR="00521169" w:rsidRPr="00521169" w:rsidRDefault="009307EC" w:rsidP="009307EC">
      <w:pPr>
        <w:pStyle w:val="BodyText"/>
      </w:pPr>
      <w:r>
        <w:lastRenderedPageBreak/>
        <w:t xml:space="preserve">For the network topology in </w:t>
      </w:r>
      <w:r>
        <w:fldChar w:fldCharType="begin"/>
      </w:r>
      <w:r>
        <w:instrText xml:space="preserve"> REF _Ref4587195 \h </w:instrText>
      </w:r>
      <w:r>
        <w:fldChar w:fldCharType="separate"/>
      </w:r>
      <w:r w:rsidR="00661570" w:rsidRPr="00CE0424">
        <w:t xml:space="preserve">Figure </w:t>
      </w:r>
      <w:r w:rsidR="00661570">
        <w:rPr>
          <w:noProof/>
        </w:rPr>
        <w:t>2</w:t>
      </w:r>
      <w:r>
        <w:fldChar w:fldCharType="end"/>
      </w:r>
      <w:r>
        <w:t xml:space="preserve">, it would also be possible to make each TRP its own cell, as depicted in </w:t>
      </w:r>
      <w:r w:rsidR="0006070F">
        <w:fldChar w:fldCharType="begin"/>
      </w:r>
      <w:r w:rsidR="0006070F">
        <w:instrText xml:space="preserve"> REF _Ref4588792 \h </w:instrText>
      </w:r>
      <w:r w:rsidR="0006070F">
        <w:fldChar w:fldCharType="separate"/>
      </w:r>
      <w:r w:rsidR="00661570" w:rsidRPr="00CE0424">
        <w:t xml:space="preserve">Figure </w:t>
      </w:r>
      <w:r w:rsidR="00661570">
        <w:rPr>
          <w:noProof/>
        </w:rPr>
        <w:t>3</w:t>
      </w:r>
      <w:r w:rsidR="0006070F">
        <w:fldChar w:fldCharType="end"/>
      </w:r>
    </w:p>
    <w:p w14:paraId="63AD1326" w14:textId="67CE9A68" w:rsidR="009307EC" w:rsidRPr="00CE0424" w:rsidRDefault="009307EC" w:rsidP="009307EC">
      <w:pPr>
        <w:pStyle w:val="TH"/>
      </w:pPr>
      <w:r>
        <w:rPr>
          <w:noProof/>
        </w:rPr>
        <w:drawing>
          <wp:inline distT="0" distB="0" distL="0" distR="0" wp14:anchorId="7C067EEA" wp14:editId="78E27B83">
            <wp:extent cx="2324100" cy="2442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scenario4-sepcells..png"/>
                    <pic:cNvPicPr/>
                  </pic:nvPicPr>
                  <pic:blipFill>
                    <a:blip r:embed="rId13">
                      <a:extLst>
                        <a:ext uri="{28A0092B-C50C-407E-A947-70E740481C1C}">
                          <a14:useLocalDpi xmlns:a14="http://schemas.microsoft.com/office/drawing/2010/main" val="0"/>
                        </a:ext>
                      </a:extLst>
                    </a:blip>
                    <a:stretch>
                      <a:fillRect/>
                    </a:stretch>
                  </pic:blipFill>
                  <pic:spPr>
                    <a:xfrm>
                      <a:off x="0" y="0"/>
                      <a:ext cx="2326182" cy="2444821"/>
                    </a:xfrm>
                    <a:prstGeom prst="rect">
                      <a:avLst/>
                    </a:prstGeom>
                  </pic:spPr>
                </pic:pic>
              </a:graphicData>
            </a:graphic>
          </wp:inline>
        </w:drawing>
      </w:r>
    </w:p>
    <w:p w14:paraId="01C4932B" w14:textId="61068A4E" w:rsidR="009307EC" w:rsidRPr="008D00A5" w:rsidRDefault="009307EC" w:rsidP="009307EC">
      <w:pPr>
        <w:pStyle w:val="TF"/>
        <w:rPr>
          <w:lang w:val="en-GB"/>
        </w:rPr>
      </w:pPr>
      <w:bookmarkStart w:id="29" w:name="_Ref4588792"/>
      <w:r w:rsidRPr="00CE0424">
        <w:t xml:space="preserve">Figure </w:t>
      </w:r>
      <w:r>
        <w:rPr>
          <w:noProof/>
        </w:rPr>
        <w:fldChar w:fldCharType="begin"/>
      </w:r>
      <w:r>
        <w:rPr>
          <w:noProof/>
        </w:rPr>
        <w:instrText xml:space="preserve"> SEQ Figure \* ARABIC </w:instrText>
      </w:r>
      <w:r>
        <w:rPr>
          <w:noProof/>
        </w:rPr>
        <w:fldChar w:fldCharType="separate"/>
      </w:r>
      <w:r w:rsidR="00661570">
        <w:rPr>
          <w:noProof/>
        </w:rPr>
        <w:t>3</w:t>
      </w:r>
      <w:r>
        <w:rPr>
          <w:noProof/>
        </w:rPr>
        <w:fldChar w:fldCharType="end"/>
      </w:r>
      <w:bookmarkEnd w:id="29"/>
      <w:r w:rsidRPr="00CE0424">
        <w:t xml:space="preserve">: </w:t>
      </w:r>
      <w:r w:rsidRPr="009307EC">
        <w:rPr>
          <w:lang w:val="en-US"/>
        </w:rPr>
        <w:t>Five separate</w:t>
      </w:r>
      <w:r>
        <w:rPr>
          <w:lang w:val="en-US"/>
        </w:rPr>
        <w:t xml:space="preserve"> cells. All TRPs transmit different SS/PBCH block. The UE performs inter-cell mobility using RRC reconfiguration with sync.  </w:t>
      </w:r>
    </w:p>
    <w:p w14:paraId="00C8F998" w14:textId="5EA80259" w:rsidR="008E4BA9" w:rsidRDefault="0006070F" w:rsidP="0006070F">
      <w:pPr>
        <w:pStyle w:val="BodyText"/>
      </w:pPr>
      <w:r>
        <w:t xml:space="preserve">Comparing </w:t>
      </w:r>
      <w:r>
        <w:fldChar w:fldCharType="begin"/>
      </w:r>
      <w:r>
        <w:instrText xml:space="preserve"> REF _Ref4587195 \h </w:instrText>
      </w:r>
      <w:r>
        <w:fldChar w:fldCharType="separate"/>
      </w:r>
      <w:r w:rsidR="00661570" w:rsidRPr="00CE0424">
        <w:t xml:space="preserve">Figure </w:t>
      </w:r>
      <w:r w:rsidR="00661570">
        <w:rPr>
          <w:noProof/>
        </w:rPr>
        <w:t>2</w:t>
      </w:r>
      <w:r>
        <w:fldChar w:fldCharType="end"/>
      </w:r>
      <w:r>
        <w:t xml:space="preserve"> and </w:t>
      </w:r>
      <w:r>
        <w:fldChar w:fldCharType="begin"/>
      </w:r>
      <w:r>
        <w:instrText xml:space="preserve"> REF _Ref4588792 \h </w:instrText>
      </w:r>
      <w:r>
        <w:fldChar w:fldCharType="separate"/>
      </w:r>
      <w:r w:rsidR="00661570" w:rsidRPr="00CE0424">
        <w:t xml:space="preserve">Figure </w:t>
      </w:r>
      <w:r w:rsidR="00661570">
        <w:rPr>
          <w:noProof/>
        </w:rPr>
        <w:t>3</w:t>
      </w:r>
      <w:r>
        <w:fldChar w:fldCharType="end"/>
      </w:r>
      <w:r>
        <w:t xml:space="preserve">, the mobility procedures become significantly more complicated, and the handovers between the cells causes interrupts. The fact that the network is now transmitting different SS/PBCH blocks from the different TRPs </w:t>
      </w:r>
      <w:r w:rsidR="00795CAC">
        <w:t xml:space="preserve">creates </w:t>
      </w:r>
      <w:r>
        <w:t xml:space="preserve">an artificial </w:t>
      </w:r>
      <w:r w:rsidR="00795CAC">
        <w:t>border in the network, leading to a performance degradation.</w:t>
      </w:r>
    </w:p>
    <w:p w14:paraId="0225D60E" w14:textId="72ECD43E" w:rsidR="008E4BA9" w:rsidRDefault="008E4BA9" w:rsidP="0006070F">
      <w:pPr>
        <w:pStyle w:val="BodyText"/>
      </w:pPr>
      <w:r>
        <w:t xml:space="preserve">The deployment in </w:t>
      </w:r>
      <w:r>
        <w:fldChar w:fldCharType="begin"/>
      </w:r>
      <w:r>
        <w:instrText xml:space="preserve"> REF _Ref4587195 \h </w:instrText>
      </w:r>
      <w:r>
        <w:fldChar w:fldCharType="separate"/>
      </w:r>
      <w:r w:rsidR="00661570" w:rsidRPr="00CE0424">
        <w:t xml:space="preserve">Figure </w:t>
      </w:r>
      <w:r w:rsidR="00661570">
        <w:rPr>
          <w:noProof/>
        </w:rPr>
        <w:t>2</w:t>
      </w:r>
      <w:r>
        <w:fldChar w:fldCharType="end"/>
      </w:r>
      <w:r>
        <w:t xml:space="preserve"> has some complications. The UE would be configured to use the SS/PBCH block as QCL source for TRS, </w:t>
      </w:r>
      <w:proofErr w:type="gramStart"/>
      <w:r w:rsidR="00434806">
        <w:t>despite the fact that</w:t>
      </w:r>
      <w:proofErr w:type="gramEnd"/>
      <w:r w:rsidR="00434806">
        <w:t xml:space="preserve"> the TRS would be transmitted from only one of the TRPs. This may lead to some performance degradation. Also, if intra-cell mobility is handled using CSI-RS leads to additional overhead. Also, from an O&amp;M point of view, the single-cell configuration may also not be preferred: if LTE and NR are co-sited, keeping the 5-cell configuration from LTE would be easier to maintain. </w:t>
      </w:r>
    </w:p>
    <w:p w14:paraId="79610192" w14:textId="46C8B386" w:rsidR="00434806" w:rsidRDefault="00434806" w:rsidP="0006070F">
      <w:pPr>
        <w:pStyle w:val="BodyText"/>
      </w:pPr>
      <w:r>
        <w:t xml:space="preserve">Fortunately, only small changes are needed in the standard to make the deployment in </w:t>
      </w:r>
      <w:r>
        <w:fldChar w:fldCharType="begin"/>
      </w:r>
      <w:r>
        <w:instrText xml:space="preserve"> REF _Ref4588792 \h </w:instrText>
      </w:r>
      <w:r>
        <w:fldChar w:fldCharType="separate"/>
      </w:r>
      <w:r w:rsidR="00661570" w:rsidRPr="00CE0424">
        <w:t xml:space="preserve">Figure </w:t>
      </w:r>
      <w:r w:rsidR="00661570">
        <w:rPr>
          <w:noProof/>
        </w:rPr>
        <w:t>3</w:t>
      </w:r>
      <w:r>
        <w:fldChar w:fldCharType="end"/>
      </w:r>
      <w:r>
        <w:t xml:space="preserve"> possible and still avoid RRC reconfigurations, thereby reducing interrupts and signalling. </w:t>
      </w:r>
      <w:r w:rsidR="00032B19">
        <w:t>With small additions to the standard, it also becomes possible to perform measurements of the neighbour cells using L1 measurements, which would speed up the reporting, and make it possible to increase robustness.</w:t>
      </w:r>
    </w:p>
    <w:p w14:paraId="32F9EF04" w14:textId="7C5C9AF9" w:rsidR="00032B19" w:rsidRDefault="00032B19" w:rsidP="0006070F">
      <w:pPr>
        <w:pStyle w:val="BodyText"/>
      </w:pPr>
      <w:r>
        <w:t>This is achieved using the following functionality:</w:t>
      </w:r>
    </w:p>
    <w:p w14:paraId="7E5E99A8" w14:textId="24803400" w:rsidR="00032B19" w:rsidRDefault="00032B19" w:rsidP="00032B19">
      <w:pPr>
        <w:pStyle w:val="BodyText"/>
        <w:numPr>
          <w:ilvl w:val="0"/>
          <w:numId w:val="26"/>
        </w:numPr>
      </w:pPr>
      <w:r>
        <w:t>Introduce the possibility to include SS/PBCH blocks for non-serving cells in the TCI state</w:t>
      </w:r>
      <w:r w:rsidR="004F2EE3">
        <w:t xml:space="preserve"> </w:t>
      </w:r>
      <w:r w:rsidR="004F2EE3">
        <w:fldChar w:fldCharType="begin"/>
      </w:r>
      <w:r w:rsidR="004F2EE3">
        <w:instrText xml:space="preserve"> REF _Ref4593407 \r \h </w:instrText>
      </w:r>
      <w:r w:rsidR="004F2EE3">
        <w:fldChar w:fldCharType="separate"/>
      </w:r>
      <w:r w:rsidR="00661570">
        <w:t>[2]</w:t>
      </w:r>
      <w:r w:rsidR="004F2EE3">
        <w:fldChar w:fldCharType="end"/>
      </w:r>
      <w:r>
        <w:t>. With this, it becomes possible to change the synchronization source of the UE to a non-serving cell. The connection can then be transferred between two cells without any RRC signalling to the UE. Compared to the RRC procedures, the handling is much faster: the TCI update is activated 3ms after the MAC CE command is received. The key NR property that makes this possible is that the physical layer parameters can be completely decoupled from the PCI. In LTE, this is impossible: the PDCCH scrambling is directly derived from the PCI.</w:t>
      </w:r>
    </w:p>
    <w:p w14:paraId="3AD98F3F" w14:textId="70D5E163" w:rsidR="00032B19" w:rsidRDefault="00032B19" w:rsidP="00032B19">
      <w:pPr>
        <w:pStyle w:val="BodyText"/>
        <w:numPr>
          <w:ilvl w:val="0"/>
          <w:numId w:val="26"/>
        </w:numPr>
      </w:pPr>
      <w:r>
        <w:t>Introduce the possibility to report L1-RSRP</w:t>
      </w:r>
      <w:r w:rsidR="000915A1">
        <w:fldChar w:fldCharType="begin"/>
      </w:r>
      <w:r w:rsidR="000915A1">
        <w:instrText xml:space="preserve"> REF _Ref4593301 \r \h </w:instrText>
      </w:r>
      <w:r w:rsidR="000915A1">
        <w:fldChar w:fldCharType="separate"/>
      </w:r>
      <w:r w:rsidR="00661570">
        <w:t>[3]</w:t>
      </w:r>
      <w:r w:rsidR="000915A1">
        <w:fldChar w:fldCharType="end"/>
      </w:r>
      <w:r>
        <w:t xml:space="preserve"> from non-serving cells over L1, i.e., using PUCCH/PUSCH. With these reports, the network can determine when the UE crosses the border between cells without involving RRC. Since the reports are leaner, they can be transmitted more often, providing more information to the network. This in turns enables the network to perform more advanced processing of the measurements.</w:t>
      </w:r>
    </w:p>
    <w:p w14:paraId="7E643EE9" w14:textId="3F272AE0" w:rsidR="00032B19" w:rsidRDefault="00032B19" w:rsidP="00032B19">
      <w:pPr>
        <w:pStyle w:val="BodyText"/>
      </w:pPr>
      <w:r>
        <w:t>Both these pieces of functionality are simple extensions of beam management procedures to the inter-cell case. These inter-cell extensions should not lead to a significant burden on the UE: the measurements are anyway performed, and the only additional thing is to get the measurements to the network. The MAC CE update of the TCI state is anyway implemented, and the only extension is that the UE should be able to directly use RSs in neighbour cells as QCL sources.</w:t>
      </w:r>
    </w:p>
    <w:p w14:paraId="26AE1E9A" w14:textId="02B94BD4" w:rsidR="000A1EB8" w:rsidRDefault="000A1EB8" w:rsidP="00032B19">
      <w:pPr>
        <w:pStyle w:val="BodyText"/>
      </w:pPr>
      <w:r>
        <w:t>Note that the functionality described here has no impact on the RAN2 procedures, only on the signalling:</w:t>
      </w:r>
    </w:p>
    <w:p w14:paraId="5CA4B83A" w14:textId="693B10C0" w:rsidR="000A1EB8" w:rsidRDefault="000A1EB8" w:rsidP="000A1EB8">
      <w:pPr>
        <w:pStyle w:val="Observation"/>
      </w:pPr>
      <w:bookmarkStart w:id="30" w:name="_Toc4784283"/>
      <w:r>
        <w:t>The lower-layer mobility procedures have no impact on the procedures described in the RAN2 specifications.</w:t>
      </w:r>
      <w:bookmarkEnd w:id="30"/>
      <w:r>
        <w:t xml:space="preserve"> </w:t>
      </w:r>
    </w:p>
    <w:p w14:paraId="30CD6A7F" w14:textId="74B981E2" w:rsidR="00521169" w:rsidRDefault="00032B19" w:rsidP="0006070F">
      <w:pPr>
        <w:pStyle w:val="BodyText"/>
      </w:pPr>
      <w:r>
        <w:lastRenderedPageBreak/>
        <w:t xml:space="preserve">Further details can be found in </w:t>
      </w:r>
      <w:r w:rsidR="003B7C8A">
        <w:fldChar w:fldCharType="begin"/>
      </w:r>
      <w:r w:rsidR="003B7C8A">
        <w:instrText xml:space="preserve"> REF _Ref4593126 \r \h </w:instrText>
      </w:r>
      <w:r w:rsidR="003B7C8A">
        <w:fldChar w:fldCharType="separate"/>
      </w:r>
      <w:r w:rsidR="00661570">
        <w:t>[13]</w:t>
      </w:r>
      <w:r w:rsidR="003B7C8A">
        <w:fldChar w:fldCharType="end"/>
      </w:r>
      <w:r w:rsidR="003B7C8A">
        <w:t>.</w:t>
      </w:r>
      <w:r w:rsidR="0006070F">
        <w:t xml:space="preserve"> </w:t>
      </w:r>
    </w:p>
    <w:p w14:paraId="57373DEF" w14:textId="49439B27" w:rsidR="00644F4E" w:rsidRDefault="00644F4E" w:rsidP="00644F4E">
      <w:pPr>
        <w:pStyle w:val="Heading2"/>
      </w:pPr>
      <w:r>
        <w:t>2.4 Early CSI reporting</w:t>
      </w:r>
    </w:p>
    <w:p w14:paraId="0F56192F" w14:textId="77777777" w:rsidR="00644F4E" w:rsidRDefault="00644F4E" w:rsidP="00644F4E">
      <w:pPr>
        <w:pStyle w:val="BodyText"/>
      </w:pPr>
      <w:r>
        <w:t xml:space="preserve">After a handover has taken place, the UE is experiencing new channel conditions. The CSI reports collected in the old cell are no longer relevant. This lack of channel knowledge will force the network to rely on the most robust modulation and coding schemes until the first CQI report arrives. If the UE could be asked to provide channel state information earlier, the throughput can be improved. </w:t>
      </w:r>
    </w:p>
    <w:p w14:paraId="7510E335" w14:textId="50E3E308" w:rsidR="00644F4E" w:rsidRDefault="00A9591B" w:rsidP="00644F4E">
      <w:pPr>
        <w:pStyle w:val="BodyText"/>
      </w:pPr>
      <w:r>
        <w:t>One possibility would be to request CSI in the target cell at the first possible occasion, i.e., in Msg3. Fortunately, t</w:t>
      </w:r>
      <w:r w:rsidR="00644F4E">
        <w:t xml:space="preserve">he RAR grant described in </w:t>
      </w:r>
      <w:r>
        <w:fldChar w:fldCharType="begin"/>
      </w:r>
      <w:r>
        <w:instrText xml:space="preserve"> REF _Ref4574765 \r \h </w:instrText>
      </w:r>
      <w:r>
        <w:fldChar w:fldCharType="separate"/>
      </w:r>
      <w:r w:rsidR="00661570">
        <w:t>[1]</w:t>
      </w:r>
      <w:r>
        <w:fldChar w:fldCharType="end"/>
      </w:r>
      <w:r w:rsidR="00644F4E">
        <w:t xml:space="preserve"> contains a CSI request bit</w:t>
      </w:r>
      <w:r>
        <w:t>, which would trigger the UE to provide a CSI report</w:t>
      </w:r>
      <w:r w:rsidR="00644F4E">
        <w:t>. However, there is no description in the specification on how the UE would interpret the bit</w:t>
      </w:r>
      <w:r>
        <w:t>, and its use is reserved.</w:t>
      </w:r>
    </w:p>
    <w:p w14:paraId="0241DB29" w14:textId="2E857AFA" w:rsidR="00A9591B" w:rsidRDefault="00A9591B" w:rsidP="00A9591B">
      <w:pPr>
        <w:pStyle w:val="BodyText"/>
      </w:pPr>
      <w:r>
        <w:t xml:space="preserve">The CSI request field was introduced in NB-IoT, with the purpose to aid the PDCCH link adaptation: the UE would provide the NW with a CSI report already in Msg3. This is described in </w:t>
      </w:r>
      <w:r>
        <w:fldChar w:fldCharType="begin"/>
      </w:r>
      <w:r>
        <w:instrText xml:space="preserve"> REF _Ref4753385 \r \h </w:instrText>
      </w:r>
      <w:r>
        <w:fldChar w:fldCharType="separate"/>
      </w:r>
      <w:r w:rsidR="00661570">
        <w:t>[14]</w:t>
      </w:r>
      <w:r>
        <w:fldChar w:fldCharType="end"/>
      </w:r>
      <w:r>
        <w:fldChar w:fldCharType="begin"/>
      </w:r>
      <w:r>
        <w:instrText xml:space="preserve"> REF _Ref4753387 \r \h </w:instrText>
      </w:r>
      <w:r>
        <w:fldChar w:fldCharType="separate"/>
      </w:r>
      <w:r w:rsidR="00661570">
        <w:t>[15]</w:t>
      </w:r>
      <w:r>
        <w:fldChar w:fldCharType="end"/>
      </w:r>
      <w:r>
        <w:t>.</w:t>
      </w:r>
    </w:p>
    <w:p w14:paraId="33815384" w14:textId="77777777" w:rsidR="00A9591B" w:rsidRDefault="00A9591B" w:rsidP="00A9591B">
      <w:pPr>
        <w:pStyle w:val="BodyText"/>
      </w:pPr>
      <w:r>
        <w:t xml:space="preserve">We propose to introduce such CSI reporting also for NR: </w:t>
      </w:r>
    </w:p>
    <w:p w14:paraId="036DBB76" w14:textId="77777777" w:rsidR="00A9591B" w:rsidRPr="00A04F49" w:rsidRDefault="00A9591B" w:rsidP="00A9591B">
      <w:pPr>
        <w:pStyle w:val="Proposal"/>
      </w:pPr>
      <w:bookmarkStart w:id="31" w:name="_Toc4754902"/>
      <w:bookmarkStart w:id="32" w:name="_Toc4784290"/>
      <w:r>
        <w:t>Support CSI reporting in Msg3 triggered by the CSI request bit in the RAR grant, both for contention-based and non-contention-based random access.</w:t>
      </w:r>
      <w:bookmarkEnd w:id="31"/>
      <w:bookmarkEnd w:id="32"/>
      <w:r>
        <w:t xml:space="preserve"> </w:t>
      </w:r>
    </w:p>
    <w:p w14:paraId="41A41071" w14:textId="0ADE8E12" w:rsidR="00644F4E" w:rsidRPr="00644F4E" w:rsidRDefault="00A9591B" w:rsidP="00A9591B">
      <w:pPr>
        <w:pStyle w:val="BodyText"/>
      </w:pPr>
      <w:r>
        <w:t xml:space="preserve">The report format would be different for contention-based and non-contention-based access. The details are described in </w:t>
      </w:r>
      <w:r>
        <w:fldChar w:fldCharType="begin"/>
      </w:r>
      <w:r>
        <w:instrText xml:space="preserve"> REF _Ref4758394 \r \h </w:instrText>
      </w:r>
      <w:r>
        <w:fldChar w:fldCharType="separate"/>
      </w:r>
      <w:r w:rsidR="00661570">
        <w:t>[16]</w:t>
      </w:r>
      <w:r>
        <w:fldChar w:fldCharType="end"/>
      </w:r>
      <w:r>
        <w:t>.</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D3C41B" w14:textId="7F3DDB2D" w:rsidR="0066157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4278" w:history="1">
        <w:r w:rsidR="00661570" w:rsidRPr="00C34BDC">
          <w:rPr>
            <w:rStyle w:val="Hyperlink"/>
            <w:noProof/>
          </w:rPr>
          <w:t>Observation 1</w:t>
        </w:r>
        <w:r w:rsidR="00661570">
          <w:rPr>
            <w:rFonts w:asciiTheme="minorHAnsi" w:eastAsiaTheme="minorEastAsia" w:hAnsiTheme="minorHAnsi" w:cstheme="minorBidi"/>
            <w:b w:val="0"/>
            <w:noProof/>
            <w:sz w:val="22"/>
            <w:szCs w:val="22"/>
            <w:lang w:val="sv-SE" w:eastAsia="sv-SE"/>
          </w:rPr>
          <w:tab/>
        </w:r>
        <w:r w:rsidR="00661570" w:rsidRPr="00C34BDC">
          <w:rPr>
            <w:rStyle w:val="Hyperlink"/>
            <w:noProof/>
          </w:rPr>
          <w:t>Simultaneous Rx/Tx required for intra-frequency MBB and DC-based HO is equivalent to the simultaneous Rx/Tx required for multi-TRP Rx/Tx using multiple PDCCH.</w:t>
        </w:r>
      </w:hyperlink>
    </w:p>
    <w:p w14:paraId="6E16E07A" w14:textId="53861137"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79" w:history="1">
        <w:r w:rsidRPr="00C34BDC">
          <w:rPr>
            <w:rStyle w:val="Hyperlink"/>
            <w:noProof/>
          </w:rPr>
          <w:t>Observation 2</w:t>
        </w:r>
        <w:r>
          <w:rPr>
            <w:rFonts w:asciiTheme="minorHAnsi" w:eastAsiaTheme="minorEastAsia" w:hAnsiTheme="minorHAnsi" w:cstheme="minorBidi"/>
            <w:b w:val="0"/>
            <w:noProof/>
            <w:sz w:val="22"/>
            <w:szCs w:val="22"/>
            <w:lang w:val="sv-SE" w:eastAsia="sv-SE"/>
          </w:rPr>
          <w:tab/>
        </w:r>
        <w:r w:rsidRPr="00C34BDC">
          <w:rPr>
            <w:rStyle w:val="Hyperlink"/>
            <w:noProof/>
          </w:rPr>
          <w:t>UE designs for multi-TRP using multiple PDCCHs will require synchronous deployments where the TRPs are coordinated to some level.</w:t>
        </w:r>
      </w:hyperlink>
    </w:p>
    <w:p w14:paraId="7EAE89A6" w14:textId="51AE2DDA"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0" w:history="1">
        <w:r w:rsidRPr="00C34BDC">
          <w:rPr>
            <w:rStyle w:val="Hyperlink"/>
            <w:noProof/>
          </w:rPr>
          <w:t>Observation 3</w:t>
        </w:r>
        <w:r>
          <w:rPr>
            <w:rFonts w:asciiTheme="minorHAnsi" w:eastAsiaTheme="minorEastAsia" w:hAnsiTheme="minorHAnsi" w:cstheme="minorBidi"/>
            <w:b w:val="0"/>
            <w:noProof/>
            <w:sz w:val="22"/>
            <w:szCs w:val="22"/>
            <w:lang w:val="sv-SE" w:eastAsia="sv-SE"/>
          </w:rPr>
          <w:tab/>
        </w:r>
        <w:r w:rsidRPr="00C34BDC">
          <w:rPr>
            <w:rStyle w:val="Hyperlink"/>
            <w:noProof/>
          </w:rPr>
          <w:t>Simultaneous Rx/Tx for intra-frequency MBB and DC-based HO are associated with restrictions in network deployment.</w:t>
        </w:r>
      </w:hyperlink>
    </w:p>
    <w:p w14:paraId="08E3A3B6" w14:textId="0769DB4B"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1" w:history="1">
        <w:r w:rsidRPr="00C34BDC">
          <w:rPr>
            <w:rStyle w:val="Hyperlink"/>
            <w:noProof/>
          </w:rPr>
          <w:t>Observation 4</w:t>
        </w:r>
        <w:r>
          <w:rPr>
            <w:rFonts w:asciiTheme="minorHAnsi" w:eastAsiaTheme="minorEastAsia" w:hAnsiTheme="minorHAnsi" w:cstheme="minorBidi"/>
            <w:b w:val="0"/>
            <w:noProof/>
            <w:sz w:val="22"/>
            <w:szCs w:val="22"/>
            <w:lang w:val="sv-SE" w:eastAsia="sv-SE"/>
          </w:rPr>
          <w:tab/>
        </w:r>
        <w:r w:rsidRPr="00C34BDC">
          <w:rPr>
            <w:rStyle w:val="Hyperlink"/>
            <w:noProof/>
          </w:rPr>
          <w:t>In the context of MBB and DC-based HO, beam based operation is equivalent to FR2 operation.</w:t>
        </w:r>
      </w:hyperlink>
    </w:p>
    <w:p w14:paraId="200C4114" w14:textId="5BDF898E"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2" w:history="1">
        <w:r w:rsidRPr="00C34BDC">
          <w:rPr>
            <w:rStyle w:val="Hyperlink"/>
            <w:noProof/>
          </w:rPr>
          <w:t>Observation 5</w:t>
        </w:r>
        <w:r>
          <w:rPr>
            <w:rFonts w:asciiTheme="minorHAnsi" w:eastAsiaTheme="minorEastAsia" w:hAnsiTheme="minorHAnsi" w:cstheme="minorBidi"/>
            <w:b w:val="0"/>
            <w:noProof/>
            <w:sz w:val="22"/>
            <w:szCs w:val="22"/>
            <w:lang w:val="sv-SE" w:eastAsia="sv-SE"/>
          </w:rPr>
          <w:tab/>
        </w:r>
        <w:r w:rsidRPr="00C34BDC">
          <w:rPr>
            <w:rStyle w:val="Hyperlink"/>
            <w:noProof/>
          </w:rPr>
          <w:t>If simultaneous Rx/Tx is not feasible in FR2, there are no beam related aspects to MBB and DC-based HO solutions.</w:t>
        </w:r>
      </w:hyperlink>
    </w:p>
    <w:p w14:paraId="11296C71" w14:textId="68EE4DD2"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3" w:history="1">
        <w:r w:rsidRPr="00C34BDC">
          <w:rPr>
            <w:rStyle w:val="Hyperlink"/>
            <w:noProof/>
          </w:rPr>
          <w:t>Observation 6</w:t>
        </w:r>
        <w:r>
          <w:rPr>
            <w:rFonts w:asciiTheme="minorHAnsi" w:eastAsiaTheme="minorEastAsia" w:hAnsiTheme="minorHAnsi" w:cstheme="minorBidi"/>
            <w:b w:val="0"/>
            <w:noProof/>
            <w:sz w:val="22"/>
            <w:szCs w:val="22"/>
            <w:lang w:val="sv-SE" w:eastAsia="sv-SE"/>
          </w:rPr>
          <w:tab/>
        </w:r>
        <w:r w:rsidRPr="00C34BDC">
          <w:rPr>
            <w:rStyle w:val="Hyperlink"/>
            <w:noProof/>
          </w:rPr>
          <w:t>The lower-layer mobility procedures have no impact on the procedures described in the RAN2 specifications.</w:t>
        </w:r>
      </w:hyperlink>
    </w:p>
    <w:p w14:paraId="638CBFAF" w14:textId="1B396491"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011C96" w14:textId="7F2CBCD5" w:rsidR="0066157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4284" w:history="1">
        <w:r w:rsidR="00661570" w:rsidRPr="004C44D1">
          <w:rPr>
            <w:rStyle w:val="Hyperlink"/>
            <w:noProof/>
          </w:rPr>
          <w:t>Proposal 1</w:t>
        </w:r>
        <w:r w:rsidR="00661570">
          <w:rPr>
            <w:rFonts w:asciiTheme="minorHAnsi" w:eastAsiaTheme="minorEastAsia" w:hAnsiTheme="minorHAnsi" w:cstheme="minorBidi"/>
            <w:b w:val="0"/>
            <w:noProof/>
            <w:sz w:val="22"/>
            <w:szCs w:val="22"/>
            <w:lang w:val="sv-SE" w:eastAsia="sv-SE"/>
          </w:rPr>
          <w:tab/>
        </w:r>
        <w:r w:rsidR="00661570" w:rsidRPr="004C44D1">
          <w:rPr>
            <w:rStyle w:val="Hyperlink"/>
            <w:noProof/>
          </w:rPr>
          <w:t>Further investigate the possibility for the UE to perform autonomous TA adjustment before transmitting Msg3 in the target cell.</w:t>
        </w:r>
      </w:hyperlink>
    </w:p>
    <w:p w14:paraId="3DB28A5F" w14:textId="49DAA588"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5" w:history="1">
        <w:r w:rsidRPr="004C44D1">
          <w:rPr>
            <w:rStyle w:val="Hyperlink"/>
            <w:noProof/>
          </w:rPr>
          <w:t>Proposal 2</w:t>
        </w:r>
        <w:r>
          <w:rPr>
            <w:rFonts w:asciiTheme="minorHAnsi" w:eastAsiaTheme="minorEastAsia" w:hAnsiTheme="minorHAnsi" w:cstheme="minorBidi"/>
            <w:b w:val="0"/>
            <w:noProof/>
            <w:sz w:val="22"/>
            <w:szCs w:val="22"/>
            <w:lang w:val="sv-SE" w:eastAsia="sv-SE"/>
          </w:rPr>
          <w:tab/>
        </w:r>
        <w:r w:rsidRPr="004C44D1">
          <w:rPr>
            <w:rStyle w:val="Hyperlink"/>
            <w:noProof/>
          </w:rPr>
          <w:t>To transmit Msg3, the UE shall use a spatial relation defined by a DL RS signalled by the NW.</w:t>
        </w:r>
      </w:hyperlink>
    </w:p>
    <w:p w14:paraId="05733D3A" w14:textId="68A0BBF8"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6" w:history="1">
        <w:r w:rsidRPr="004C44D1">
          <w:rPr>
            <w:rStyle w:val="Hyperlink"/>
            <w:noProof/>
          </w:rPr>
          <w:t>Proposal 3</w:t>
        </w:r>
        <w:r>
          <w:rPr>
            <w:rFonts w:asciiTheme="minorHAnsi" w:eastAsiaTheme="minorEastAsia" w:hAnsiTheme="minorHAnsi" w:cstheme="minorBidi"/>
            <w:b w:val="0"/>
            <w:noProof/>
            <w:sz w:val="22"/>
            <w:szCs w:val="22"/>
            <w:lang w:val="sv-SE" w:eastAsia="sv-SE"/>
          </w:rPr>
          <w:tab/>
        </w:r>
        <w:r w:rsidRPr="004C44D1">
          <w:rPr>
            <w:rStyle w:val="Hyperlink"/>
            <w:noProof/>
          </w:rPr>
          <w:t>Until reconfigured/activated, the UE may assume that all DL signals from the target gNB are quasi co-located with respect to QCL-TypeA, and QCL-TypeD properties with a DL RS signalled by the NW.</w:t>
        </w:r>
      </w:hyperlink>
    </w:p>
    <w:p w14:paraId="31007DF6" w14:textId="42E394E3"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7" w:history="1">
        <w:r w:rsidRPr="004C44D1">
          <w:rPr>
            <w:rStyle w:val="Hyperlink"/>
            <w:noProof/>
          </w:rPr>
          <w:t>Proposal 4</w:t>
        </w:r>
        <w:r>
          <w:rPr>
            <w:rFonts w:asciiTheme="minorHAnsi" w:eastAsiaTheme="minorEastAsia" w:hAnsiTheme="minorHAnsi" w:cstheme="minorBidi"/>
            <w:b w:val="0"/>
            <w:noProof/>
            <w:sz w:val="22"/>
            <w:szCs w:val="22"/>
            <w:lang w:val="sv-SE" w:eastAsia="sv-SE"/>
          </w:rPr>
          <w:tab/>
        </w:r>
        <w:r w:rsidRPr="004C44D1">
          <w:rPr>
            <w:rStyle w:val="Hyperlink"/>
            <w:noProof/>
          </w:rPr>
          <w:t>The Msg3 Tx power is determined using the PUSCH power control rules specified in section 7.1.1. in [1] using the RS used for QCL assumptions and spatial relation determination as pathloss reference RS.</w:t>
        </w:r>
      </w:hyperlink>
    </w:p>
    <w:p w14:paraId="7AED206D" w14:textId="63DB6975"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8" w:history="1">
        <w:r w:rsidRPr="004C44D1">
          <w:rPr>
            <w:rStyle w:val="Hyperlink"/>
            <w:noProof/>
          </w:rPr>
          <w:t>Proposal 5</w:t>
        </w:r>
        <w:r>
          <w:rPr>
            <w:rFonts w:asciiTheme="minorHAnsi" w:eastAsiaTheme="minorEastAsia" w:hAnsiTheme="minorHAnsi" w:cstheme="minorBidi"/>
            <w:b w:val="0"/>
            <w:noProof/>
            <w:sz w:val="22"/>
            <w:szCs w:val="22"/>
            <w:lang w:val="sv-SE" w:eastAsia="sv-SE"/>
          </w:rPr>
          <w:tab/>
        </w:r>
        <w:r w:rsidRPr="004C44D1">
          <w:rPr>
            <w:rStyle w:val="Hyperlink"/>
            <w:noProof/>
          </w:rPr>
          <w:t>The feasibility for simultaneous Rx/Tx for intra-frequency MBB and DC-based HO can be based on the agreements from the multi-TRP work.</w:t>
        </w:r>
      </w:hyperlink>
    </w:p>
    <w:p w14:paraId="76020289" w14:textId="3365C209"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89" w:history="1">
        <w:r w:rsidRPr="004C44D1">
          <w:rPr>
            <w:rStyle w:val="Hyperlink"/>
            <w:noProof/>
          </w:rPr>
          <w:t>Proposal 6</w:t>
        </w:r>
        <w:r>
          <w:rPr>
            <w:rFonts w:asciiTheme="minorHAnsi" w:eastAsiaTheme="minorEastAsia" w:hAnsiTheme="minorHAnsi" w:cstheme="minorBidi"/>
            <w:b w:val="0"/>
            <w:noProof/>
            <w:sz w:val="22"/>
            <w:szCs w:val="22"/>
            <w:lang w:val="sv-SE" w:eastAsia="sv-SE"/>
          </w:rPr>
          <w:tab/>
        </w:r>
        <w:r w:rsidRPr="004C44D1">
          <w:rPr>
            <w:rStyle w:val="Hyperlink"/>
            <w:noProof/>
          </w:rPr>
          <w:t>Beam related aspects of intra-frequency MBB and DC-based HO solutions are described in the multi-TRP work, and any agreements and solutions are reused in the mobility work.</w:t>
        </w:r>
      </w:hyperlink>
    </w:p>
    <w:p w14:paraId="4628353C" w14:textId="44F350F2" w:rsidR="00661570" w:rsidRDefault="0066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290" w:history="1">
        <w:r w:rsidRPr="004C44D1">
          <w:rPr>
            <w:rStyle w:val="Hyperlink"/>
            <w:noProof/>
          </w:rPr>
          <w:t>Proposal 7</w:t>
        </w:r>
        <w:r>
          <w:rPr>
            <w:rFonts w:asciiTheme="minorHAnsi" w:eastAsiaTheme="minorEastAsia" w:hAnsiTheme="minorHAnsi" w:cstheme="minorBidi"/>
            <w:b w:val="0"/>
            <w:noProof/>
            <w:sz w:val="22"/>
            <w:szCs w:val="22"/>
            <w:lang w:val="sv-SE" w:eastAsia="sv-SE"/>
          </w:rPr>
          <w:tab/>
        </w:r>
        <w:r w:rsidRPr="004C44D1">
          <w:rPr>
            <w:rStyle w:val="Hyperlink"/>
            <w:noProof/>
          </w:rPr>
          <w:t>Support CSI reporting in Msg3 triggered by the CSI request bit in the RAR grant, both for contention-based and non-contention-based random access.</w:t>
        </w:r>
      </w:hyperlink>
    </w:p>
    <w:p w14:paraId="00614492" w14:textId="2B1176A3" w:rsidR="00C01F33" w:rsidRPr="00A9591B" w:rsidRDefault="006E1C82" w:rsidP="00A9591B">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33" w:name="_In-sequence_SDU_delivery"/>
      <w:bookmarkEnd w:id="33"/>
      <w:r w:rsidRPr="00CE0424">
        <w:t>References</w:t>
      </w:r>
    </w:p>
    <w:p w14:paraId="28BC6BAB" w14:textId="4FD26FB6" w:rsidR="00EA1409" w:rsidRPr="00CE0424" w:rsidRDefault="00EA1409" w:rsidP="00EA1409">
      <w:pPr>
        <w:pStyle w:val="Reference"/>
      </w:pPr>
      <w:bookmarkStart w:id="34" w:name="_Ref4574765"/>
      <w:bookmarkStart w:id="35" w:name="_Ref174151459"/>
      <w:bookmarkStart w:id="36"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34"/>
    </w:p>
    <w:p w14:paraId="5F7B3EF5" w14:textId="48B5B9B7" w:rsidR="00EA1409" w:rsidRPr="00CE0424" w:rsidRDefault="00EA1409" w:rsidP="00EA1409">
      <w:pPr>
        <w:pStyle w:val="Reference"/>
      </w:pPr>
      <w:bookmarkStart w:id="37" w:name="_Ref4593407"/>
      <w:r>
        <w:t xml:space="preserve">3GPP TS 38.214, NR; </w:t>
      </w:r>
      <w:r w:rsidRPr="00D11F23">
        <w:t xml:space="preserve">Physical layer procedures for </w:t>
      </w:r>
      <w:r>
        <w:t xml:space="preserve">data, </w:t>
      </w:r>
      <w:r w:rsidR="00D31158">
        <w:t>RAN#83</w:t>
      </w:r>
      <w:r>
        <w:t>, V15.</w:t>
      </w:r>
      <w:r w:rsidR="00D31158">
        <w:t>5</w:t>
      </w:r>
      <w:r>
        <w:t xml:space="preserve">.0, </w:t>
      </w:r>
      <w:r w:rsidR="00D31158">
        <w:t>March 2019</w:t>
      </w:r>
      <w:bookmarkEnd w:id="37"/>
    </w:p>
    <w:p w14:paraId="162B33EB" w14:textId="3BDA5985" w:rsidR="00EA1409" w:rsidRPr="00CE0424" w:rsidRDefault="00EA1409" w:rsidP="00EA1409">
      <w:pPr>
        <w:pStyle w:val="Reference"/>
      </w:pPr>
      <w:bookmarkStart w:id="38" w:name="_Ref4593301"/>
      <w:r>
        <w:t xml:space="preserve">3GPP TS 38.215, NR; </w:t>
      </w:r>
      <w:r w:rsidRPr="007D71DF">
        <w:t>Physical layer measurements</w:t>
      </w:r>
      <w:r>
        <w:t xml:space="preserve">, </w:t>
      </w:r>
      <w:r w:rsidR="00D31158">
        <w:t>RAN#83</w:t>
      </w:r>
      <w:r>
        <w:t>, V15.</w:t>
      </w:r>
      <w:r w:rsidR="00D31158">
        <w:t>5</w:t>
      </w:r>
      <w:r>
        <w:t xml:space="preserve">.0, </w:t>
      </w:r>
      <w:r w:rsidR="00D31158">
        <w:t>March 2019</w:t>
      </w:r>
      <w:bookmarkEnd w:id="38"/>
    </w:p>
    <w:p w14:paraId="12737BF7" w14:textId="6C579EA2" w:rsidR="00EA1409" w:rsidRDefault="00EA1409" w:rsidP="00EA1409">
      <w:pPr>
        <w:pStyle w:val="Reference"/>
      </w:pPr>
      <w:r>
        <w:t xml:space="preserve">3GPP TS 38.321, NR; Medium Access Control (MAC) protocol specification, </w:t>
      </w:r>
      <w:r w:rsidR="00D31158">
        <w:t>RAN#83</w:t>
      </w:r>
      <w:r>
        <w:t>, V15.</w:t>
      </w:r>
      <w:r w:rsidR="00D31158">
        <w:t>5</w:t>
      </w:r>
      <w:r>
        <w:t xml:space="preserve">.0, </w:t>
      </w:r>
      <w:r w:rsidR="00D31158">
        <w:t>March 2019</w:t>
      </w:r>
      <w:r>
        <w:t xml:space="preserve"> </w:t>
      </w:r>
    </w:p>
    <w:p w14:paraId="7367720B" w14:textId="1FB4E4F1" w:rsidR="00EA1409" w:rsidRPr="00CE0424" w:rsidRDefault="00EA1409" w:rsidP="00EA1409">
      <w:pPr>
        <w:pStyle w:val="Reference"/>
      </w:pPr>
      <w:r>
        <w:t xml:space="preserve">3GPP TS 38.331, NR; </w:t>
      </w:r>
      <w:r w:rsidRPr="007D71DF">
        <w:t>Radio Resource Control (RRC) protocol specification</w:t>
      </w:r>
      <w:r>
        <w:t xml:space="preserve">, </w:t>
      </w:r>
      <w:r w:rsidR="00D31158">
        <w:t>RAN#83</w:t>
      </w:r>
      <w:r>
        <w:t>, V15.</w:t>
      </w:r>
      <w:r w:rsidR="00D31158">
        <w:t>5</w:t>
      </w:r>
      <w:r>
        <w:t xml:space="preserve">.0, </w:t>
      </w:r>
      <w:r w:rsidR="00D31158">
        <w:t>March 2019</w:t>
      </w:r>
      <w:r>
        <w:t xml:space="preserve"> </w:t>
      </w:r>
    </w:p>
    <w:p w14:paraId="592B9F07" w14:textId="77777777" w:rsidR="00521169" w:rsidRDefault="00521169" w:rsidP="00521169">
      <w:pPr>
        <w:pStyle w:val="Reference"/>
        <w:overflowPunct/>
        <w:autoSpaceDE/>
        <w:autoSpaceDN/>
        <w:adjustRightInd/>
        <w:textAlignment w:val="auto"/>
      </w:pPr>
      <w:bookmarkStart w:id="39" w:name="_Ref4570526"/>
      <w:bookmarkStart w:id="40" w:name="_Ref4487021"/>
      <w:r w:rsidRPr="00AE1184">
        <w:t>R4-166817</w:t>
      </w:r>
      <w:r>
        <w:t xml:space="preserve">, </w:t>
      </w:r>
      <w:r w:rsidRPr="00AE1184">
        <w:t>Reply LS on the feasibility of mobility enhancement solutions</w:t>
      </w:r>
      <w:r>
        <w:t>, RAN4, RAN4 #80, Gothenburg, August 2016</w:t>
      </w:r>
      <w:bookmarkEnd w:id="39"/>
    </w:p>
    <w:p w14:paraId="7980C2EE" w14:textId="77777777" w:rsidR="00521169" w:rsidRPr="00CE0424" w:rsidRDefault="00521169" w:rsidP="00521169">
      <w:pPr>
        <w:pStyle w:val="Reference"/>
        <w:overflowPunct/>
        <w:autoSpaceDE/>
        <w:autoSpaceDN/>
        <w:adjustRightInd/>
        <w:textAlignment w:val="auto"/>
      </w:pPr>
      <w:bookmarkStart w:id="41" w:name="_Ref4570672"/>
      <w:r>
        <w:t xml:space="preserve">R4-1902047, WF on UE beam switch, Ericsson, </w:t>
      </w:r>
      <w:proofErr w:type="spellStart"/>
      <w:r>
        <w:t>Mediatek</w:t>
      </w:r>
      <w:proofErr w:type="spellEnd"/>
      <w:r>
        <w:t>, Qualcomm, RAN4#90, Athens, March 2019</w:t>
      </w:r>
      <w:bookmarkEnd w:id="40"/>
      <w:bookmarkEnd w:id="41"/>
    </w:p>
    <w:p w14:paraId="1A264E28" w14:textId="046D45B2" w:rsidR="00EA1409" w:rsidRDefault="004B7717" w:rsidP="00311702">
      <w:pPr>
        <w:pStyle w:val="Reference"/>
      </w:pPr>
      <w:bookmarkStart w:id="42" w:name="_Ref4574745"/>
      <w:r w:rsidRPr="001C5A8B">
        <w:t>R1-19</w:t>
      </w:r>
      <w:r w:rsidR="001C5A8B" w:rsidRPr="001C5A8B">
        <w:t>05220</w:t>
      </w:r>
      <w:r>
        <w:t xml:space="preserve">, </w:t>
      </w:r>
      <w:r w:rsidRPr="004B7717">
        <w:t>Physical layer aspects of RACH-less HO</w:t>
      </w:r>
      <w:r>
        <w:t>, Ericsson, RAN1#96bis, Xi’an, April 2019</w:t>
      </w:r>
      <w:bookmarkEnd w:id="42"/>
    </w:p>
    <w:p w14:paraId="426B4539" w14:textId="77777777" w:rsidR="002B2E91" w:rsidRDefault="002B2E91" w:rsidP="002B2E91">
      <w:pPr>
        <w:pStyle w:val="Reference"/>
      </w:pPr>
      <w:bookmarkStart w:id="43" w:name="_Ref4398393"/>
      <w:r w:rsidRPr="000720D0">
        <w:t>R1-1814411</w:t>
      </w:r>
      <w:r>
        <w:t xml:space="preserve">, </w:t>
      </w:r>
      <w:r w:rsidRPr="000720D0">
        <w:t>Reply LS on the Interruption time during mobility in LTE</w:t>
      </w:r>
      <w:r>
        <w:t>, RAN1, RAN1 #95, Spokane, November 2018</w:t>
      </w:r>
      <w:bookmarkEnd w:id="43"/>
    </w:p>
    <w:p w14:paraId="284B7300" w14:textId="77777777" w:rsidR="002B2E91" w:rsidRDefault="002B2E91" w:rsidP="002B2E91">
      <w:pPr>
        <w:pStyle w:val="Reference"/>
      </w:pPr>
      <w:bookmarkStart w:id="44" w:name="_Ref4407715"/>
      <w:r>
        <w:t xml:space="preserve">R4-1902030, </w:t>
      </w:r>
      <w:r w:rsidRPr="000F0F53">
        <w:t>Reply LS on the interruption time during mobility in LTE</w:t>
      </w:r>
      <w:r>
        <w:t>, RAN4, RAN4 #90, Athens, March 2019</w:t>
      </w:r>
      <w:bookmarkEnd w:id="44"/>
    </w:p>
    <w:p w14:paraId="243581DF" w14:textId="143D695D" w:rsidR="002B2E91" w:rsidRPr="00BB1745" w:rsidRDefault="002B2E91" w:rsidP="002B2E91">
      <w:pPr>
        <w:pStyle w:val="Reference"/>
      </w:pPr>
      <w:bookmarkStart w:id="45" w:name="_Ref4408250"/>
      <w:r>
        <w:t xml:space="preserve">R4-1706913, </w:t>
      </w:r>
      <w:r>
        <w:rPr>
          <w:rFonts w:cs="Arial"/>
        </w:rPr>
        <w:t>Reply LS on the feasibility of DC-related mobility enhancements in NR, RAN4, RAN4 AdHoc#2, Qingdao, June 2017</w:t>
      </w:r>
      <w:bookmarkEnd w:id="45"/>
    </w:p>
    <w:p w14:paraId="12FFC0B2" w14:textId="72725220" w:rsidR="00BB1745" w:rsidRDefault="00BB1745" w:rsidP="002B2E91">
      <w:pPr>
        <w:pStyle w:val="Reference"/>
      </w:pPr>
      <w:bookmarkStart w:id="46" w:name="_Ref4579620"/>
      <w:r w:rsidRPr="001C5A8B">
        <w:t>R1-19</w:t>
      </w:r>
      <w:r w:rsidR="001C5A8B" w:rsidRPr="001C5A8B">
        <w:t>05219</w:t>
      </w:r>
      <w:r>
        <w:t xml:space="preserve">, </w:t>
      </w:r>
      <w:r w:rsidRPr="00BB1745">
        <w:t>Make-Before-Break, DC-based HO and the relation to multi-TRP</w:t>
      </w:r>
      <w:r>
        <w:t>, Ericsson, RAN1#96bis, Xi’an, April 2019</w:t>
      </w:r>
      <w:bookmarkEnd w:id="46"/>
    </w:p>
    <w:p w14:paraId="4D4AC19F" w14:textId="662B1E98" w:rsidR="00032B19" w:rsidRDefault="00032B19" w:rsidP="00032B19">
      <w:pPr>
        <w:pStyle w:val="Reference"/>
      </w:pPr>
      <w:bookmarkStart w:id="47" w:name="_Ref4593126"/>
      <w:r>
        <w:t>R1-19</w:t>
      </w:r>
      <w:r w:rsidR="00A9591B">
        <w:t>05162</w:t>
      </w:r>
      <w:r>
        <w:t>,</w:t>
      </w:r>
      <w:r w:rsidRPr="00032B19">
        <w:t xml:space="preserve"> Details on lower-layer mobility enhancements</w:t>
      </w:r>
      <w:r>
        <w:t>, Ericsson, RAN1#96bis, Xi’an, April 2019</w:t>
      </w:r>
      <w:bookmarkEnd w:id="47"/>
    </w:p>
    <w:p w14:paraId="0496F9C6" w14:textId="77777777" w:rsidR="00A9591B" w:rsidRDefault="00A9591B" w:rsidP="00A9591B">
      <w:pPr>
        <w:pStyle w:val="Reference"/>
      </w:pPr>
      <w:bookmarkStart w:id="48" w:name="_Ref4753385"/>
      <w:r>
        <w:t xml:space="preserve">3GPP TS 36.133, </w:t>
      </w:r>
      <w:r w:rsidRPr="00354621">
        <w:t>Requirements for support of radio resource management</w:t>
      </w:r>
      <w:r>
        <w:t>, RAN#82, V15.5.0, December 2018</w:t>
      </w:r>
      <w:bookmarkEnd w:id="48"/>
    </w:p>
    <w:p w14:paraId="2EF8D2E9" w14:textId="77777777" w:rsidR="00A9591B" w:rsidRPr="00CE0424" w:rsidRDefault="00A9591B" w:rsidP="00A9591B">
      <w:pPr>
        <w:pStyle w:val="Reference"/>
      </w:pPr>
      <w:bookmarkStart w:id="49" w:name="_Ref4753387"/>
      <w:r>
        <w:t xml:space="preserve">3GPP TS 36.331, </w:t>
      </w:r>
      <w:r w:rsidRPr="007D71DF">
        <w:t>Radio Resource Control (RRC) protocol specification</w:t>
      </w:r>
      <w:r>
        <w:t>, RAN#82, V15.5.0, December 2018</w:t>
      </w:r>
      <w:bookmarkEnd w:id="49"/>
    </w:p>
    <w:p w14:paraId="51FD9C35" w14:textId="6C9AE44A" w:rsidR="00A9591B" w:rsidRPr="00CE0424" w:rsidRDefault="00A9591B" w:rsidP="00032B19">
      <w:pPr>
        <w:pStyle w:val="Reference"/>
      </w:pPr>
      <w:bookmarkStart w:id="50" w:name="_Ref4758394"/>
      <w:r w:rsidRPr="001C5A8B">
        <w:t>R1-19</w:t>
      </w:r>
      <w:r w:rsidR="001C5A8B" w:rsidRPr="001C5A8B">
        <w:t>05221</w:t>
      </w:r>
      <w:r>
        <w:t>, Early CSI reporting in HO, Ericsson, RAN1#96bis, Xi’an, April 2019</w:t>
      </w:r>
      <w:bookmarkEnd w:id="50"/>
    </w:p>
    <w:bookmarkEnd w:id="35"/>
    <w:bookmarkEnd w:id="36"/>
    <w:bookmarkEnd w:id="0"/>
    <w:p w14:paraId="0EC95EF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9989" w14:textId="77777777" w:rsidR="0006070F" w:rsidRDefault="0006070F">
      <w:r>
        <w:separator/>
      </w:r>
    </w:p>
  </w:endnote>
  <w:endnote w:type="continuationSeparator" w:id="0">
    <w:p w14:paraId="2E37586B" w14:textId="77777777" w:rsidR="0006070F" w:rsidRDefault="0006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06070F" w:rsidRDefault="000607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16EA1" w14:textId="77777777" w:rsidR="0006070F" w:rsidRDefault="0006070F">
      <w:r>
        <w:separator/>
      </w:r>
    </w:p>
  </w:footnote>
  <w:footnote w:type="continuationSeparator" w:id="0">
    <w:p w14:paraId="3E2BA8E9" w14:textId="77777777" w:rsidR="0006070F" w:rsidRDefault="0006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06070F" w:rsidRDefault="000607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FE0CCE"/>
    <w:multiLevelType w:val="hybridMultilevel"/>
    <w:tmpl w:val="CE16A3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C4BF7"/>
    <w:multiLevelType w:val="hybridMultilevel"/>
    <w:tmpl w:val="0EBC9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6"/>
  </w:num>
  <w:num w:numId="24">
    <w:abstractNumId w:val="9"/>
  </w:num>
  <w:num w:numId="25">
    <w:abstractNumId w:val="16"/>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2B19"/>
    <w:rsid w:val="00034C15"/>
    <w:rsid w:val="00036BA1"/>
    <w:rsid w:val="000422E2"/>
    <w:rsid w:val="00042F22"/>
    <w:rsid w:val="000444EF"/>
    <w:rsid w:val="00044F46"/>
    <w:rsid w:val="00045797"/>
    <w:rsid w:val="00052A07"/>
    <w:rsid w:val="000534E3"/>
    <w:rsid w:val="0005606A"/>
    <w:rsid w:val="00057117"/>
    <w:rsid w:val="0006070F"/>
    <w:rsid w:val="000616E7"/>
    <w:rsid w:val="000622DD"/>
    <w:rsid w:val="0006487E"/>
    <w:rsid w:val="00065E1A"/>
    <w:rsid w:val="00077E5F"/>
    <w:rsid w:val="0008036A"/>
    <w:rsid w:val="00081AE6"/>
    <w:rsid w:val="000855EB"/>
    <w:rsid w:val="00085B52"/>
    <w:rsid w:val="000866F2"/>
    <w:rsid w:val="0009009F"/>
    <w:rsid w:val="00091557"/>
    <w:rsid w:val="000915A1"/>
    <w:rsid w:val="000924C1"/>
    <w:rsid w:val="000924F0"/>
    <w:rsid w:val="00093474"/>
    <w:rsid w:val="0009510F"/>
    <w:rsid w:val="00097EA0"/>
    <w:rsid w:val="000A1B7B"/>
    <w:rsid w:val="000A1EB8"/>
    <w:rsid w:val="000A56F2"/>
    <w:rsid w:val="000B2719"/>
    <w:rsid w:val="000B3A8F"/>
    <w:rsid w:val="000B4AB9"/>
    <w:rsid w:val="000B58C3"/>
    <w:rsid w:val="000B61E9"/>
    <w:rsid w:val="000C165A"/>
    <w:rsid w:val="000C2E19"/>
    <w:rsid w:val="000D0D07"/>
    <w:rsid w:val="000D4797"/>
    <w:rsid w:val="000E030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A8B"/>
    <w:rsid w:val="001D51BA"/>
    <w:rsid w:val="001D53E7"/>
    <w:rsid w:val="001D6342"/>
    <w:rsid w:val="001D6D53"/>
    <w:rsid w:val="001E4AB9"/>
    <w:rsid w:val="001E58E2"/>
    <w:rsid w:val="001E71CD"/>
    <w:rsid w:val="001E7AED"/>
    <w:rsid w:val="001F3916"/>
    <w:rsid w:val="001F54C5"/>
    <w:rsid w:val="001F662C"/>
    <w:rsid w:val="001F7074"/>
    <w:rsid w:val="00200490"/>
    <w:rsid w:val="002006C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E4B"/>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89D"/>
    <w:rsid w:val="00292EB7"/>
    <w:rsid w:val="00296227"/>
    <w:rsid w:val="00296F44"/>
    <w:rsid w:val="0029777D"/>
    <w:rsid w:val="002A055E"/>
    <w:rsid w:val="002A1D4E"/>
    <w:rsid w:val="002A2869"/>
    <w:rsid w:val="002B24D6"/>
    <w:rsid w:val="002B2E91"/>
    <w:rsid w:val="002C41E6"/>
    <w:rsid w:val="002D071A"/>
    <w:rsid w:val="002D34B2"/>
    <w:rsid w:val="002D4314"/>
    <w:rsid w:val="002D48B0"/>
    <w:rsid w:val="002D5B37"/>
    <w:rsid w:val="002D7637"/>
    <w:rsid w:val="002E17F2"/>
    <w:rsid w:val="002E7AD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5A"/>
    <w:rsid w:val="00357380"/>
    <w:rsid w:val="003602D9"/>
    <w:rsid w:val="003604CE"/>
    <w:rsid w:val="00370E47"/>
    <w:rsid w:val="003742AC"/>
    <w:rsid w:val="00377CE1"/>
    <w:rsid w:val="00385BF0"/>
    <w:rsid w:val="003939FF"/>
    <w:rsid w:val="003A2223"/>
    <w:rsid w:val="003A258E"/>
    <w:rsid w:val="003A2A0F"/>
    <w:rsid w:val="003A45A1"/>
    <w:rsid w:val="003A5B0A"/>
    <w:rsid w:val="003A6BAC"/>
    <w:rsid w:val="003A70A4"/>
    <w:rsid w:val="003A7EF3"/>
    <w:rsid w:val="003B159C"/>
    <w:rsid w:val="003B369F"/>
    <w:rsid w:val="003B36A3"/>
    <w:rsid w:val="003B64BB"/>
    <w:rsid w:val="003B7C8A"/>
    <w:rsid w:val="003B7FE5"/>
    <w:rsid w:val="003C11C8"/>
    <w:rsid w:val="003C2702"/>
    <w:rsid w:val="003C6CE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806"/>
    <w:rsid w:val="00437447"/>
    <w:rsid w:val="00441A92"/>
    <w:rsid w:val="004431DC"/>
    <w:rsid w:val="00444F56"/>
    <w:rsid w:val="00446488"/>
    <w:rsid w:val="004517AA"/>
    <w:rsid w:val="00452CAC"/>
    <w:rsid w:val="00457565"/>
    <w:rsid w:val="00457B71"/>
    <w:rsid w:val="00465510"/>
    <w:rsid w:val="004669E2"/>
    <w:rsid w:val="00470C31"/>
    <w:rsid w:val="00471DE0"/>
    <w:rsid w:val="004734D0"/>
    <w:rsid w:val="0047556B"/>
    <w:rsid w:val="00477768"/>
    <w:rsid w:val="00492BC5"/>
    <w:rsid w:val="004964F1"/>
    <w:rsid w:val="004A16BC"/>
    <w:rsid w:val="004A2B94"/>
    <w:rsid w:val="004B6F6A"/>
    <w:rsid w:val="004B7717"/>
    <w:rsid w:val="004B7C0C"/>
    <w:rsid w:val="004C3898"/>
    <w:rsid w:val="004D36B1"/>
    <w:rsid w:val="004D7EBD"/>
    <w:rsid w:val="004E2680"/>
    <w:rsid w:val="004E28F9"/>
    <w:rsid w:val="004E462E"/>
    <w:rsid w:val="004E56DC"/>
    <w:rsid w:val="004E76F4"/>
    <w:rsid w:val="004F0B4E"/>
    <w:rsid w:val="004F0B6C"/>
    <w:rsid w:val="004F2078"/>
    <w:rsid w:val="004F2EE3"/>
    <w:rsid w:val="004F4DA3"/>
    <w:rsid w:val="00506557"/>
    <w:rsid w:val="0050677A"/>
    <w:rsid w:val="005108D8"/>
    <w:rsid w:val="005116F9"/>
    <w:rsid w:val="005153A7"/>
    <w:rsid w:val="00521169"/>
    <w:rsid w:val="005219CF"/>
    <w:rsid w:val="00534B59"/>
    <w:rsid w:val="00536759"/>
    <w:rsid w:val="00537C62"/>
    <w:rsid w:val="00546970"/>
    <w:rsid w:val="00554E19"/>
    <w:rsid w:val="0056121F"/>
    <w:rsid w:val="00572505"/>
    <w:rsid w:val="00582809"/>
    <w:rsid w:val="0058798C"/>
    <w:rsid w:val="005900FA"/>
    <w:rsid w:val="005935A4"/>
    <w:rsid w:val="005936B8"/>
    <w:rsid w:val="005948C2"/>
    <w:rsid w:val="00595DCA"/>
    <w:rsid w:val="0059779B"/>
    <w:rsid w:val="005A17E2"/>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A94"/>
    <w:rsid w:val="006377EC"/>
    <w:rsid w:val="0064151F"/>
    <w:rsid w:val="00641533"/>
    <w:rsid w:val="0064208D"/>
    <w:rsid w:val="00643475"/>
    <w:rsid w:val="0064396A"/>
    <w:rsid w:val="00644F4E"/>
    <w:rsid w:val="0064624E"/>
    <w:rsid w:val="00650AB9"/>
    <w:rsid w:val="00655733"/>
    <w:rsid w:val="00655ACD"/>
    <w:rsid w:val="00656A92"/>
    <w:rsid w:val="00656DDE"/>
    <w:rsid w:val="0066011D"/>
    <w:rsid w:val="006607C0"/>
    <w:rsid w:val="006613A6"/>
    <w:rsid w:val="00661570"/>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25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17A"/>
    <w:rsid w:val="00785490"/>
    <w:rsid w:val="007925EA"/>
    <w:rsid w:val="00793CD8"/>
    <w:rsid w:val="00795C92"/>
    <w:rsid w:val="00795CAC"/>
    <w:rsid w:val="00796231"/>
    <w:rsid w:val="007A1CB3"/>
    <w:rsid w:val="007A306F"/>
    <w:rsid w:val="007A43A6"/>
    <w:rsid w:val="007A58A6"/>
    <w:rsid w:val="007B19EE"/>
    <w:rsid w:val="007B3D2D"/>
    <w:rsid w:val="007B50AE"/>
    <w:rsid w:val="007B51DF"/>
    <w:rsid w:val="007C05DD"/>
    <w:rsid w:val="007C3D18"/>
    <w:rsid w:val="007C4C4E"/>
    <w:rsid w:val="007C60BF"/>
    <w:rsid w:val="007C6A07"/>
    <w:rsid w:val="007C75A1"/>
    <w:rsid w:val="007C77A5"/>
    <w:rsid w:val="007D04E5"/>
    <w:rsid w:val="007D5901"/>
    <w:rsid w:val="007D7526"/>
    <w:rsid w:val="007E4610"/>
    <w:rsid w:val="007E4715"/>
    <w:rsid w:val="007E4E19"/>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BA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07EC"/>
    <w:rsid w:val="00931BD9"/>
    <w:rsid w:val="009368F3"/>
    <w:rsid w:val="00941636"/>
    <w:rsid w:val="00943742"/>
    <w:rsid w:val="00945C05"/>
    <w:rsid w:val="00946945"/>
    <w:rsid w:val="00947713"/>
    <w:rsid w:val="00950DE7"/>
    <w:rsid w:val="00953920"/>
    <w:rsid w:val="00953B87"/>
    <w:rsid w:val="00953D47"/>
    <w:rsid w:val="0095681E"/>
    <w:rsid w:val="009572D4"/>
    <w:rsid w:val="00961921"/>
    <w:rsid w:val="0096430A"/>
    <w:rsid w:val="0096554B"/>
    <w:rsid w:val="0096584A"/>
    <w:rsid w:val="00967BF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C4B"/>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91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8B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745"/>
    <w:rsid w:val="00BB2A25"/>
    <w:rsid w:val="00BB51E9"/>
    <w:rsid w:val="00BC0C8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67F"/>
    <w:rsid w:val="00C279B5"/>
    <w:rsid w:val="00C27C45"/>
    <w:rsid w:val="00C3719D"/>
    <w:rsid w:val="00C37CB2"/>
    <w:rsid w:val="00C473A5"/>
    <w:rsid w:val="00C54995"/>
    <w:rsid w:val="00C54D41"/>
    <w:rsid w:val="00C60783"/>
    <w:rsid w:val="00C645F5"/>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191C"/>
    <w:rsid w:val="00CF2719"/>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45AB3"/>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87F"/>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585"/>
    <w:rsid w:val="00E110E7"/>
    <w:rsid w:val="00E11B20"/>
    <w:rsid w:val="00E17FA2"/>
    <w:rsid w:val="00E22330"/>
    <w:rsid w:val="00E230E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F68"/>
    <w:rsid w:val="00E63838"/>
    <w:rsid w:val="00E64434"/>
    <w:rsid w:val="00E67C51"/>
    <w:rsid w:val="00E72EFC"/>
    <w:rsid w:val="00E758EC"/>
    <w:rsid w:val="00E80494"/>
    <w:rsid w:val="00E8234C"/>
    <w:rsid w:val="00E83AA9"/>
    <w:rsid w:val="00E85928"/>
    <w:rsid w:val="00E87822"/>
    <w:rsid w:val="00E90395"/>
    <w:rsid w:val="00E90E49"/>
    <w:rsid w:val="00E917F9"/>
    <w:rsid w:val="00E9291C"/>
    <w:rsid w:val="00E93FFE"/>
    <w:rsid w:val="00E94F8A"/>
    <w:rsid w:val="00E95677"/>
    <w:rsid w:val="00EA1409"/>
    <w:rsid w:val="00EA7A41"/>
    <w:rsid w:val="00EB077B"/>
    <w:rsid w:val="00EB4EA2"/>
    <w:rsid w:val="00EC24D5"/>
    <w:rsid w:val="00EC27C6"/>
    <w:rsid w:val="00EC4207"/>
    <w:rsid w:val="00EC5653"/>
    <w:rsid w:val="00EC71CE"/>
    <w:rsid w:val="00ED1006"/>
    <w:rsid w:val="00ED767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7D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4A9"/>
    <w:rsid w:val="00FD47ED"/>
    <w:rsid w:val="00FD74DB"/>
    <w:rsid w:val="00FD7660"/>
    <w:rsid w:val="00FE0655"/>
    <w:rsid w:val="00FE2365"/>
    <w:rsid w:val="00FE37D7"/>
    <w:rsid w:val="00FE4C7B"/>
    <w:rsid w:val="00FE7336"/>
    <w:rsid w:val="00FE787C"/>
    <w:rsid w:val="00FF18C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1EB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A1E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A1EB8"/>
    <w:pPr>
      <w:pBdr>
        <w:top w:val="none" w:sz="0" w:space="0" w:color="auto"/>
      </w:pBdr>
      <w:spacing w:before="180"/>
      <w:outlineLvl w:val="1"/>
    </w:pPr>
    <w:rPr>
      <w:sz w:val="32"/>
    </w:rPr>
  </w:style>
  <w:style w:type="paragraph" w:styleId="Heading3">
    <w:name w:val="heading 3"/>
    <w:basedOn w:val="Heading2"/>
    <w:next w:val="Normal"/>
    <w:link w:val="Heading3Char"/>
    <w:qFormat/>
    <w:rsid w:val="000A1EB8"/>
    <w:pPr>
      <w:spacing w:before="120"/>
      <w:outlineLvl w:val="2"/>
    </w:pPr>
    <w:rPr>
      <w:sz w:val="28"/>
    </w:rPr>
  </w:style>
  <w:style w:type="paragraph" w:styleId="Heading4">
    <w:name w:val="heading 4"/>
    <w:basedOn w:val="Heading3"/>
    <w:next w:val="Normal"/>
    <w:link w:val="Heading4Char"/>
    <w:qFormat/>
    <w:rsid w:val="000A1EB8"/>
    <w:pPr>
      <w:ind w:left="1418" w:hanging="1418"/>
      <w:outlineLvl w:val="3"/>
    </w:pPr>
    <w:rPr>
      <w:sz w:val="24"/>
    </w:rPr>
  </w:style>
  <w:style w:type="paragraph" w:styleId="Heading5">
    <w:name w:val="heading 5"/>
    <w:basedOn w:val="Heading4"/>
    <w:next w:val="Normal"/>
    <w:link w:val="Heading5Char"/>
    <w:qFormat/>
    <w:rsid w:val="000A1EB8"/>
    <w:pPr>
      <w:ind w:left="1701" w:hanging="1701"/>
      <w:outlineLvl w:val="4"/>
    </w:pPr>
    <w:rPr>
      <w:sz w:val="22"/>
    </w:rPr>
  </w:style>
  <w:style w:type="paragraph" w:styleId="Heading6">
    <w:name w:val="heading 6"/>
    <w:basedOn w:val="H6"/>
    <w:next w:val="Normal"/>
    <w:link w:val="Heading6Char"/>
    <w:qFormat/>
    <w:rsid w:val="000A1EB8"/>
    <w:pPr>
      <w:outlineLvl w:val="5"/>
    </w:pPr>
  </w:style>
  <w:style w:type="paragraph" w:styleId="Heading7">
    <w:name w:val="heading 7"/>
    <w:basedOn w:val="H6"/>
    <w:next w:val="Normal"/>
    <w:link w:val="Heading7Char"/>
    <w:qFormat/>
    <w:rsid w:val="000A1EB8"/>
    <w:pPr>
      <w:outlineLvl w:val="6"/>
    </w:pPr>
  </w:style>
  <w:style w:type="paragraph" w:styleId="Heading8">
    <w:name w:val="heading 8"/>
    <w:basedOn w:val="Heading1"/>
    <w:next w:val="Normal"/>
    <w:link w:val="Heading8Char"/>
    <w:qFormat/>
    <w:rsid w:val="000A1EB8"/>
    <w:pPr>
      <w:ind w:left="0" w:firstLine="0"/>
      <w:outlineLvl w:val="7"/>
    </w:pPr>
  </w:style>
  <w:style w:type="paragraph" w:styleId="Heading9">
    <w:name w:val="heading 9"/>
    <w:basedOn w:val="Heading8"/>
    <w:next w:val="Normal"/>
    <w:link w:val="Heading9Char"/>
    <w:qFormat/>
    <w:rsid w:val="000A1EB8"/>
    <w:pPr>
      <w:outlineLvl w:val="8"/>
    </w:pPr>
  </w:style>
  <w:style w:type="character" w:default="1" w:styleId="DefaultParagraphFont">
    <w:name w:val="Default Paragraph Font"/>
    <w:uiPriority w:val="1"/>
    <w:semiHidden/>
    <w:unhideWhenUsed/>
    <w:rsid w:val="000A1E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1EB8"/>
  </w:style>
  <w:style w:type="paragraph" w:styleId="TOC8">
    <w:name w:val="toc 8"/>
    <w:basedOn w:val="TOC1"/>
    <w:uiPriority w:val="39"/>
    <w:rsid w:val="000A1EB8"/>
    <w:pPr>
      <w:spacing w:before="180"/>
      <w:ind w:left="2693" w:hanging="2693"/>
    </w:pPr>
    <w:rPr>
      <w:b/>
    </w:rPr>
  </w:style>
  <w:style w:type="paragraph" w:styleId="TOC1">
    <w:name w:val="toc 1"/>
    <w:uiPriority w:val="39"/>
    <w:rsid w:val="000A1E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A1EB8"/>
    <w:pPr>
      <w:keepNext/>
      <w:keepLines/>
      <w:spacing w:before="180"/>
      <w:jc w:val="center"/>
    </w:pPr>
  </w:style>
  <w:style w:type="paragraph" w:styleId="Caption">
    <w:name w:val="caption"/>
    <w:basedOn w:val="Normal"/>
    <w:next w:val="Normal"/>
    <w:qFormat/>
    <w:rsid w:val="000A1EB8"/>
    <w:pPr>
      <w:spacing w:before="120" w:after="120"/>
    </w:pPr>
    <w:rPr>
      <w:b/>
      <w:lang w:eastAsia="en-GB"/>
    </w:rPr>
  </w:style>
  <w:style w:type="paragraph" w:styleId="TOC5">
    <w:name w:val="toc 5"/>
    <w:basedOn w:val="TOC4"/>
    <w:uiPriority w:val="39"/>
    <w:rsid w:val="000A1EB8"/>
    <w:pPr>
      <w:ind w:left="1701" w:hanging="1701"/>
    </w:pPr>
  </w:style>
  <w:style w:type="paragraph" w:styleId="TOC4">
    <w:name w:val="toc 4"/>
    <w:basedOn w:val="TOC3"/>
    <w:uiPriority w:val="39"/>
    <w:rsid w:val="000A1EB8"/>
    <w:pPr>
      <w:ind w:left="1418" w:hanging="1418"/>
    </w:pPr>
  </w:style>
  <w:style w:type="paragraph" w:styleId="TOC3">
    <w:name w:val="toc 3"/>
    <w:basedOn w:val="TOC2"/>
    <w:uiPriority w:val="39"/>
    <w:rsid w:val="000A1EB8"/>
    <w:pPr>
      <w:ind w:left="1134" w:hanging="1134"/>
    </w:pPr>
  </w:style>
  <w:style w:type="paragraph" w:styleId="TOC2">
    <w:name w:val="toc 2"/>
    <w:basedOn w:val="TOC1"/>
    <w:uiPriority w:val="39"/>
    <w:rsid w:val="000A1EB8"/>
    <w:pPr>
      <w:keepNext w:val="0"/>
      <w:spacing w:before="0"/>
      <w:ind w:left="851" w:hanging="851"/>
    </w:pPr>
    <w:rPr>
      <w:sz w:val="20"/>
    </w:rPr>
  </w:style>
  <w:style w:type="paragraph" w:styleId="Index2">
    <w:name w:val="index 2"/>
    <w:basedOn w:val="Index1"/>
    <w:rsid w:val="000A1EB8"/>
    <w:pPr>
      <w:ind w:left="284"/>
    </w:pPr>
  </w:style>
  <w:style w:type="paragraph" w:styleId="Index1">
    <w:name w:val="index 1"/>
    <w:basedOn w:val="Normal"/>
    <w:rsid w:val="000A1EB8"/>
    <w:pPr>
      <w:keepLines/>
      <w:spacing w:after="0"/>
    </w:pPr>
  </w:style>
  <w:style w:type="paragraph" w:styleId="DocumentMap">
    <w:name w:val="Document Map"/>
    <w:basedOn w:val="Normal"/>
    <w:link w:val="DocumentMapChar"/>
    <w:rsid w:val="000A1EB8"/>
    <w:pPr>
      <w:shd w:val="clear" w:color="auto" w:fill="000080"/>
    </w:pPr>
    <w:rPr>
      <w:rFonts w:ascii="Tahoma" w:hAnsi="Tahoma" w:cs="Tahoma"/>
    </w:rPr>
  </w:style>
  <w:style w:type="paragraph" w:styleId="ListNumber2">
    <w:name w:val="List Number 2"/>
    <w:basedOn w:val="ListNumber"/>
    <w:rsid w:val="000A1EB8"/>
    <w:pPr>
      <w:numPr>
        <w:numId w:val="22"/>
      </w:numPr>
    </w:pPr>
  </w:style>
  <w:style w:type="paragraph" w:styleId="ListNumber">
    <w:name w:val="List Number"/>
    <w:basedOn w:val="List"/>
    <w:rsid w:val="000A1EB8"/>
    <w:pPr>
      <w:numPr>
        <w:numId w:val="21"/>
      </w:numPr>
    </w:pPr>
    <w:rPr>
      <w:lang w:eastAsia="ja-JP"/>
    </w:rPr>
  </w:style>
  <w:style w:type="paragraph" w:styleId="List">
    <w:name w:val="List"/>
    <w:basedOn w:val="BodyText"/>
    <w:rsid w:val="000A1EB8"/>
    <w:pPr>
      <w:ind w:left="568" w:hanging="284"/>
    </w:pPr>
  </w:style>
  <w:style w:type="paragraph" w:styleId="Header">
    <w:name w:val="header"/>
    <w:link w:val="HeaderChar"/>
    <w:rsid w:val="000A1EB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A1EB8"/>
    <w:rPr>
      <w:b/>
      <w:position w:val="6"/>
      <w:sz w:val="16"/>
    </w:rPr>
  </w:style>
  <w:style w:type="paragraph" w:styleId="FootnoteText">
    <w:name w:val="footnote text"/>
    <w:basedOn w:val="Normal"/>
    <w:link w:val="FootnoteTextChar"/>
    <w:rsid w:val="000A1EB8"/>
    <w:pPr>
      <w:keepLines/>
      <w:spacing w:after="0"/>
      <w:ind w:left="454" w:hanging="454"/>
    </w:pPr>
    <w:rPr>
      <w:sz w:val="16"/>
    </w:rPr>
  </w:style>
  <w:style w:type="paragraph" w:customStyle="1" w:styleId="3GPPHeader">
    <w:name w:val="3GPP_Header"/>
    <w:basedOn w:val="BodyText"/>
    <w:rsid w:val="000A1EB8"/>
    <w:pPr>
      <w:tabs>
        <w:tab w:val="left" w:pos="1701"/>
        <w:tab w:val="right" w:pos="9639"/>
      </w:tabs>
      <w:spacing w:after="240"/>
    </w:pPr>
    <w:rPr>
      <w:b/>
      <w:sz w:val="24"/>
    </w:rPr>
  </w:style>
  <w:style w:type="paragraph" w:styleId="TOC9">
    <w:name w:val="toc 9"/>
    <w:basedOn w:val="TOC8"/>
    <w:uiPriority w:val="39"/>
    <w:rsid w:val="000A1EB8"/>
    <w:pPr>
      <w:ind w:left="1418" w:hanging="1418"/>
    </w:pPr>
  </w:style>
  <w:style w:type="paragraph" w:styleId="TOC6">
    <w:name w:val="toc 6"/>
    <w:basedOn w:val="TOC5"/>
    <w:next w:val="Normal"/>
    <w:uiPriority w:val="39"/>
    <w:rsid w:val="000A1EB8"/>
    <w:pPr>
      <w:ind w:left="1985" w:hanging="1985"/>
    </w:pPr>
  </w:style>
  <w:style w:type="paragraph" w:styleId="TOC7">
    <w:name w:val="toc 7"/>
    <w:basedOn w:val="TOC6"/>
    <w:next w:val="Normal"/>
    <w:uiPriority w:val="39"/>
    <w:rsid w:val="000A1EB8"/>
    <w:pPr>
      <w:ind w:left="2268" w:hanging="2268"/>
    </w:pPr>
  </w:style>
  <w:style w:type="paragraph" w:styleId="ListBullet2">
    <w:name w:val="List Bullet 2"/>
    <w:basedOn w:val="ListBullet"/>
    <w:rsid w:val="000A1EB8"/>
    <w:pPr>
      <w:numPr>
        <w:numId w:val="17"/>
      </w:numPr>
    </w:pPr>
  </w:style>
  <w:style w:type="paragraph" w:styleId="ListBullet">
    <w:name w:val="List Bullet"/>
    <w:basedOn w:val="List"/>
    <w:rsid w:val="000A1EB8"/>
    <w:pPr>
      <w:numPr>
        <w:numId w:val="16"/>
      </w:numPr>
    </w:pPr>
    <w:rPr>
      <w:lang w:eastAsia="ja-JP"/>
    </w:rPr>
  </w:style>
  <w:style w:type="paragraph" w:styleId="ListBullet3">
    <w:name w:val="List Bullet 3"/>
    <w:basedOn w:val="ListBullet2"/>
    <w:rsid w:val="000A1EB8"/>
    <w:pPr>
      <w:numPr>
        <w:numId w:val="18"/>
      </w:numPr>
    </w:pPr>
  </w:style>
  <w:style w:type="paragraph" w:customStyle="1" w:styleId="EQ">
    <w:name w:val="EQ"/>
    <w:basedOn w:val="Normal"/>
    <w:next w:val="Normal"/>
    <w:rsid w:val="000A1EB8"/>
    <w:pPr>
      <w:keepLines/>
      <w:tabs>
        <w:tab w:val="center" w:pos="4536"/>
        <w:tab w:val="right" w:pos="9072"/>
      </w:tabs>
    </w:pPr>
    <w:rPr>
      <w:noProof/>
    </w:rPr>
  </w:style>
  <w:style w:type="paragraph" w:styleId="List2">
    <w:name w:val="List 2"/>
    <w:basedOn w:val="List"/>
    <w:rsid w:val="000A1EB8"/>
    <w:pPr>
      <w:ind w:left="851"/>
    </w:pPr>
    <w:rPr>
      <w:lang w:eastAsia="ja-JP"/>
    </w:rPr>
  </w:style>
  <w:style w:type="paragraph" w:styleId="List3">
    <w:name w:val="List 3"/>
    <w:basedOn w:val="List2"/>
    <w:rsid w:val="000A1EB8"/>
    <w:pPr>
      <w:ind w:left="1135"/>
    </w:pPr>
  </w:style>
  <w:style w:type="paragraph" w:styleId="List4">
    <w:name w:val="List 4"/>
    <w:basedOn w:val="List3"/>
    <w:rsid w:val="000A1EB8"/>
    <w:pPr>
      <w:ind w:left="1418"/>
    </w:pPr>
  </w:style>
  <w:style w:type="paragraph" w:styleId="List5">
    <w:name w:val="List 5"/>
    <w:basedOn w:val="List4"/>
    <w:rsid w:val="000A1EB8"/>
    <w:pPr>
      <w:ind w:left="1702"/>
    </w:pPr>
  </w:style>
  <w:style w:type="paragraph" w:customStyle="1" w:styleId="EditorsNote">
    <w:name w:val="Editor's Note"/>
    <w:basedOn w:val="NO"/>
    <w:link w:val="EditorsNoteChar"/>
    <w:rsid w:val="000A1EB8"/>
    <w:rPr>
      <w:color w:val="FF0000"/>
      <w:lang w:val="x-none" w:eastAsia="x-none"/>
    </w:rPr>
  </w:style>
  <w:style w:type="paragraph" w:styleId="ListBullet4">
    <w:name w:val="List Bullet 4"/>
    <w:basedOn w:val="ListBullet3"/>
    <w:rsid w:val="000A1EB8"/>
    <w:pPr>
      <w:numPr>
        <w:numId w:val="19"/>
      </w:numPr>
    </w:pPr>
  </w:style>
  <w:style w:type="paragraph" w:styleId="ListBullet5">
    <w:name w:val="List Bullet 5"/>
    <w:basedOn w:val="ListBullet4"/>
    <w:rsid w:val="000A1EB8"/>
    <w:pPr>
      <w:numPr>
        <w:numId w:val="20"/>
      </w:numPr>
    </w:pPr>
  </w:style>
  <w:style w:type="paragraph" w:styleId="Footer">
    <w:name w:val="footer"/>
    <w:basedOn w:val="Header"/>
    <w:link w:val="FooterChar"/>
    <w:rsid w:val="000A1EB8"/>
    <w:pPr>
      <w:jc w:val="center"/>
    </w:pPr>
    <w:rPr>
      <w:i/>
    </w:rPr>
  </w:style>
  <w:style w:type="paragraph" w:customStyle="1" w:styleId="Reference">
    <w:name w:val="Reference"/>
    <w:basedOn w:val="BodyText"/>
    <w:rsid w:val="000A1EB8"/>
    <w:pPr>
      <w:numPr>
        <w:numId w:val="2"/>
      </w:numPr>
    </w:pPr>
  </w:style>
  <w:style w:type="paragraph" w:styleId="BalloonText">
    <w:name w:val="Balloon Text"/>
    <w:basedOn w:val="Normal"/>
    <w:link w:val="BalloonTextChar"/>
    <w:rsid w:val="000A1EB8"/>
    <w:pPr>
      <w:spacing w:after="0"/>
    </w:pPr>
    <w:rPr>
      <w:rFonts w:ascii="Segoe UI" w:hAnsi="Segoe UI" w:cs="Segoe UI"/>
      <w:sz w:val="18"/>
      <w:szCs w:val="18"/>
    </w:rPr>
  </w:style>
  <w:style w:type="character" w:styleId="PageNumber">
    <w:name w:val="page number"/>
    <w:basedOn w:val="DefaultParagraphFont"/>
    <w:rsid w:val="000A1EB8"/>
  </w:style>
  <w:style w:type="paragraph" w:styleId="BodyText">
    <w:name w:val="Body Text"/>
    <w:basedOn w:val="Normal"/>
    <w:link w:val="BodyTextChar"/>
    <w:rsid w:val="000A1EB8"/>
    <w:pPr>
      <w:spacing w:after="120"/>
      <w:jc w:val="both"/>
    </w:pPr>
    <w:rPr>
      <w:rFonts w:ascii="Arial" w:hAnsi="Arial"/>
      <w:lang w:eastAsia="zh-CN"/>
    </w:rPr>
  </w:style>
  <w:style w:type="character" w:styleId="Hyperlink">
    <w:name w:val="Hyperlink"/>
    <w:uiPriority w:val="99"/>
    <w:rsid w:val="000A1EB8"/>
    <w:rPr>
      <w:color w:val="0000FF"/>
      <w:u w:val="single"/>
    </w:rPr>
  </w:style>
  <w:style w:type="character" w:styleId="FollowedHyperlink">
    <w:name w:val="FollowedHyperlink"/>
    <w:unhideWhenUsed/>
    <w:rsid w:val="000A1EB8"/>
    <w:rPr>
      <w:color w:val="800080"/>
      <w:u w:val="single"/>
    </w:rPr>
  </w:style>
  <w:style w:type="character" w:styleId="CommentReference">
    <w:name w:val="annotation reference"/>
    <w:uiPriority w:val="99"/>
    <w:qFormat/>
    <w:rsid w:val="000A1EB8"/>
    <w:rPr>
      <w:sz w:val="16"/>
      <w:szCs w:val="16"/>
    </w:rPr>
  </w:style>
  <w:style w:type="paragraph" w:styleId="CommentText">
    <w:name w:val="annotation text"/>
    <w:basedOn w:val="Normal"/>
    <w:link w:val="CommentTextChar"/>
    <w:uiPriority w:val="99"/>
    <w:qFormat/>
    <w:rsid w:val="000A1EB8"/>
  </w:style>
  <w:style w:type="paragraph" w:styleId="CommentSubject">
    <w:name w:val="annotation subject"/>
    <w:basedOn w:val="CommentText"/>
    <w:next w:val="CommentText"/>
    <w:link w:val="CommentSubjectChar"/>
    <w:rsid w:val="000A1EB8"/>
    <w:rPr>
      <w:b/>
      <w:bCs/>
    </w:rPr>
  </w:style>
  <w:style w:type="character" w:customStyle="1" w:styleId="Heading1Char">
    <w:name w:val="Heading 1 Char"/>
    <w:link w:val="Heading1"/>
    <w:rsid w:val="000A1EB8"/>
    <w:rPr>
      <w:rFonts w:ascii="Arial" w:hAnsi="Arial"/>
      <w:sz w:val="36"/>
      <w:lang w:eastAsia="ja-JP"/>
    </w:rPr>
  </w:style>
  <w:style w:type="paragraph" w:customStyle="1" w:styleId="B1">
    <w:name w:val="B1"/>
    <w:basedOn w:val="List"/>
    <w:link w:val="B1Char1"/>
    <w:rsid w:val="000A1EB8"/>
    <w:rPr>
      <w:rFonts w:ascii="Times New Roman" w:hAnsi="Times New Roman"/>
    </w:rPr>
  </w:style>
  <w:style w:type="paragraph" w:customStyle="1" w:styleId="B2">
    <w:name w:val="B2"/>
    <w:basedOn w:val="List2"/>
    <w:link w:val="B2Char"/>
    <w:rsid w:val="000A1EB8"/>
    <w:rPr>
      <w:rFonts w:ascii="Times New Roman" w:hAnsi="Times New Roman"/>
    </w:rPr>
  </w:style>
  <w:style w:type="paragraph" w:customStyle="1" w:styleId="B3">
    <w:name w:val="B3"/>
    <w:basedOn w:val="List3"/>
    <w:link w:val="B3Char2"/>
    <w:rsid w:val="000A1EB8"/>
    <w:rPr>
      <w:rFonts w:ascii="Times New Roman" w:hAnsi="Times New Roman"/>
    </w:rPr>
  </w:style>
  <w:style w:type="paragraph" w:customStyle="1" w:styleId="B4">
    <w:name w:val="B4"/>
    <w:basedOn w:val="List4"/>
    <w:link w:val="B4Char"/>
    <w:rsid w:val="000A1EB8"/>
    <w:rPr>
      <w:rFonts w:ascii="Times New Roman" w:hAnsi="Times New Roman"/>
    </w:rPr>
  </w:style>
  <w:style w:type="paragraph" w:customStyle="1" w:styleId="Proposal">
    <w:name w:val="Proposal"/>
    <w:basedOn w:val="BodyText"/>
    <w:rsid w:val="000A1EB8"/>
    <w:pPr>
      <w:numPr>
        <w:numId w:val="3"/>
      </w:numPr>
      <w:tabs>
        <w:tab w:val="clear" w:pos="1304"/>
        <w:tab w:val="left" w:pos="1701"/>
      </w:tabs>
      <w:ind w:left="1701" w:hanging="1701"/>
    </w:pPr>
    <w:rPr>
      <w:b/>
      <w:bCs/>
    </w:rPr>
  </w:style>
  <w:style w:type="character" w:customStyle="1" w:styleId="BodyTextChar">
    <w:name w:val="Body Text Char"/>
    <w:link w:val="BodyText"/>
    <w:rsid w:val="000A1EB8"/>
    <w:rPr>
      <w:rFonts w:ascii="Arial" w:hAnsi="Arial"/>
      <w:lang w:eastAsia="zh-CN"/>
    </w:rPr>
  </w:style>
  <w:style w:type="paragraph" w:customStyle="1" w:styleId="B5">
    <w:name w:val="B5"/>
    <w:basedOn w:val="List5"/>
    <w:link w:val="B5Char"/>
    <w:rsid w:val="000A1EB8"/>
    <w:rPr>
      <w:rFonts w:ascii="Times New Roman" w:hAnsi="Times New Roman"/>
    </w:rPr>
  </w:style>
  <w:style w:type="paragraph" w:customStyle="1" w:styleId="EX">
    <w:name w:val="EX"/>
    <w:basedOn w:val="Normal"/>
    <w:rsid w:val="000A1EB8"/>
    <w:pPr>
      <w:keepLines/>
      <w:ind w:left="1702" w:hanging="1418"/>
    </w:pPr>
  </w:style>
  <w:style w:type="paragraph" w:customStyle="1" w:styleId="EW">
    <w:name w:val="EW"/>
    <w:basedOn w:val="EX"/>
    <w:rsid w:val="000A1EB8"/>
    <w:pPr>
      <w:spacing w:after="0"/>
    </w:pPr>
  </w:style>
  <w:style w:type="paragraph" w:customStyle="1" w:styleId="TAL">
    <w:name w:val="TAL"/>
    <w:basedOn w:val="Normal"/>
    <w:link w:val="TALCar"/>
    <w:rsid w:val="000A1EB8"/>
    <w:pPr>
      <w:keepNext/>
      <w:keepLines/>
      <w:spacing w:after="0"/>
    </w:pPr>
    <w:rPr>
      <w:rFonts w:ascii="Arial" w:hAnsi="Arial"/>
      <w:sz w:val="18"/>
      <w:lang w:val="x-none" w:eastAsia="x-none"/>
    </w:rPr>
  </w:style>
  <w:style w:type="paragraph" w:customStyle="1" w:styleId="TAC">
    <w:name w:val="TAC"/>
    <w:basedOn w:val="TAL"/>
    <w:rsid w:val="000A1EB8"/>
    <w:pPr>
      <w:jc w:val="center"/>
    </w:pPr>
  </w:style>
  <w:style w:type="paragraph" w:customStyle="1" w:styleId="TAH">
    <w:name w:val="TAH"/>
    <w:basedOn w:val="TAC"/>
    <w:link w:val="TAHCar"/>
    <w:rsid w:val="000A1EB8"/>
    <w:rPr>
      <w:b/>
    </w:rPr>
  </w:style>
  <w:style w:type="paragraph" w:customStyle="1" w:styleId="TAN">
    <w:name w:val="TAN"/>
    <w:basedOn w:val="TAL"/>
    <w:rsid w:val="000A1EB8"/>
    <w:pPr>
      <w:ind w:left="851" w:hanging="851"/>
    </w:pPr>
  </w:style>
  <w:style w:type="paragraph" w:customStyle="1" w:styleId="TAR">
    <w:name w:val="TAR"/>
    <w:basedOn w:val="TAL"/>
    <w:rsid w:val="000A1EB8"/>
    <w:pPr>
      <w:jc w:val="right"/>
    </w:pPr>
  </w:style>
  <w:style w:type="paragraph" w:customStyle="1" w:styleId="TH">
    <w:name w:val="TH"/>
    <w:basedOn w:val="Normal"/>
    <w:link w:val="THChar"/>
    <w:rsid w:val="000A1EB8"/>
    <w:pPr>
      <w:keepNext/>
      <w:keepLines/>
      <w:spacing w:before="60"/>
      <w:jc w:val="center"/>
    </w:pPr>
    <w:rPr>
      <w:rFonts w:ascii="Arial" w:hAnsi="Arial"/>
      <w:b/>
      <w:lang w:val="x-none" w:eastAsia="x-none"/>
    </w:rPr>
  </w:style>
  <w:style w:type="paragraph" w:customStyle="1" w:styleId="TF">
    <w:name w:val="TF"/>
    <w:basedOn w:val="TH"/>
    <w:link w:val="TFChar"/>
    <w:rsid w:val="000A1EB8"/>
    <w:pPr>
      <w:keepNext w:val="0"/>
      <w:spacing w:before="0" w:after="240"/>
    </w:pPr>
  </w:style>
  <w:style w:type="paragraph" w:customStyle="1" w:styleId="TT">
    <w:name w:val="TT"/>
    <w:basedOn w:val="Heading1"/>
    <w:next w:val="Normal"/>
    <w:rsid w:val="000A1EB8"/>
    <w:pPr>
      <w:outlineLvl w:val="9"/>
    </w:pPr>
  </w:style>
  <w:style w:type="paragraph" w:customStyle="1" w:styleId="ZA">
    <w:name w:val="ZA"/>
    <w:rsid w:val="000A1E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A1E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A1EB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A1E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A1EB8"/>
  </w:style>
  <w:style w:type="paragraph" w:customStyle="1" w:styleId="ZH">
    <w:name w:val="ZH"/>
    <w:rsid w:val="000A1EB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A1E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A1EB8"/>
    <w:pPr>
      <w:framePr w:hRule="auto" w:wrap="notBeside" w:y="852"/>
    </w:pPr>
    <w:rPr>
      <w:i w:val="0"/>
      <w:sz w:val="40"/>
    </w:rPr>
  </w:style>
  <w:style w:type="paragraph" w:customStyle="1" w:styleId="ZU">
    <w:name w:val="ZU"/>
    <w:rsid w:val="000A1E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A1EB8"/>
    <w:pPr>
      <w:framePr w:wrap="notBeside" w:y="16161"/>
    </w:pPr>
  </w:style>
  <w:style w:type="paragraph" w:customStyle="1" w:styleId="FP">
    <w:name w:val="FP"/>
    <w:basedOn w:val="Normal"/>
    <w:rsid w:val="000A1EB8"/>
    <w:pPr>
      <w:spacing w:after="0"/>
    </w:pPr>
  </w:style>
  <w:style w:type="paragraph" w:customStyle="1" w:styleId="Observation">
    <w:name w:val="Observation"/>
    <w:basedOn w:val="Proposal"/>
    <w:qFormat/>
    <w:rsid w:val="000A1EB8"/>
    <w:pPr>
      <w:numPr>
        <w:numId w:val="13"/>
      </w:numPr>
      <w:ind w:left="1701" w:hanging="1701"/>
    </w:pPr>
    <w:rPr>
      <w:lang w:eastAsia="ja-JP"/>
    </w:rPr>
  </w:style>
  <w:style w:type="paragraph" w:styleId="TableofFigures">
    <w:name w:val="table of figures"/>
    <w:basedOn w:val="BodyText"/>
    <w:next w:val="Normal"/>
    <w:uiPriority w:val="99"/>
    <w:rsid w:val="000A1EB8"/>
    <w:pPr>
      <w:ind w:left="1701" w:hanging="1701"/>
      <w:jc w:val="left"/>
    </w:pPr>
    <w:rPr>
      <w:b/>
    </w:rPr>
  </w:style>
  <w:style w:type="character" w:customStyle="1" w:styleId="B1Char1">
    <w:name w:val="B1 Char1"/>
    <w:link w:val="B1"/>
    <w:qFormat/>
    <w:rsid w:val="000A1EB8"/>
    <w:rPr>
      <w:rFonts w:ascii="Times New Roman" w:hAnsi="Times New Roman"/>
      <w:lang w:eastAsia="zh-CN"/>
    </w:rPr>
  </w:style>
  <w:style w:type="character" w:customStyle="1" w:styleId="B2Char">
    <w:name w:val="B2 Char"/>
    <w:link w:val="B2"/>
    <w:qFormat/>
    <w:rsid w:val="000A1EB8"/>
    <w:rPr>
      <w:rFonts w:ascii="Times New Roman" w:hAnsi="Times New Roman"/>
      <w:lang w:eastAsia="ja-JP"/>
    </w:rPr>
  </w:style>
  <w:style w:type="character" w:customStyle="1" w:styleId="B3Char2">
    <w:name w:val="B3 Char2"/>
    <w:link w:val="B3"/>
    <w:qFormat/>
    <w:rsid w:val="000A1EB8"/>
    <w:rPr>
      <w:rFonts w:ascii="Times New Roman" w:hAnsi="Times New Roman"/>
      <w:lang w:eastAsia="ja-JP"/>
    </w:rPr>
  </w:style>
  <w:style w:type="character" w:customStyle="1" w:styleId="B4Char">
    <w:name w:val="B4 Char"/>
    <w:link w:val="B4"/>
    <w:rsid w:val="000A1EB8"/>
    <w:rPr>
      <w:rFonts w:ascii="Times New Roman" w:hAnsi="Times New Roman"/>
      <w:lang w:eastAsia="ja-JP"/>
    </w:rPr>
  </w:style>
  <w:style w:type="character" w:customStyle="1" w:styleId="B5Char">
    <w:name w:val="B5 Char"/>
    <w:link w:val="B5"/>
    <w:rsid w:val="000A1EB8"/>
    <w:rPr>
      <w:rFonts w:ascii="Times New Roman" w:hAnsi="Times New Roman"/>
      <w:lang w:eastAsia="ja-JP"/>
    </w:rPr>
  </w:style>
  <w:style w:type="paragraph" w:customStyle="1" w:styleId="B6">
    <w:name w:val="B6"/>
    <w:basedOn w:val="B5"/>
    <w:link w:val="B6Char"/>
    <w:rsid w:val="000A1EB8"/>
    <w:pPr>
      <w:ind w:left="1985"/>
    </w:pPr>
  </w:style>
  <w:style w:type="character" w:customStyle="1" w:styleId="B6Char">
    <w:name w:val="B6 Char"/>
    <w:link w:val="B6"/>
    <w:rsid w:val="000A1EB8"/>
    <w:rPr>
      <w:rFonts w:ascii="Times New Roman" w:hAnsi="Times New Roman"/>
      <w:lang w:eastAsia="ja-JP"/>
    </w:rPr>
  </w:style>
  <w:style w:type="paragraph" w:customStyle="1" w:styleId="B7">
    <w:name w:val="B7"/>
    <w:basedOn w:val="B6"/>
    <w:link w:val="B7Char"/>
    <w:rsid w:val="000A1EB8"/>
    <w:pPr>
      <w:ind w:left="2269"/>
    </w:pPr>
  </w:style>
  <w:style w:type="character" w:customStyle="1" w:styleId="B7Char">
    <w:name w:val="B7 Char"/>
    <w:basedOn w:val="B6Char"/>
    <w:link w:val="B7"/>
    <w:rsid w:val="000A1EB8"/>
    <w:rPr>
      <w:rFonts w:ascii="Times New Roman" w:hAnsi="Times New Roman"/>
      <w:lang w:eastAsia="ja-JP"/>
    </w:rPr>
  </w:style>
  <w:style w:type="paragraph" w:customStyle="1" w:styleId="B8">
    <w:name w:val="B8"/>
    <w:basedOn w:val="B7"/>
    <w:qFormat/>
    <w:rsid w:val="000A1EB8"/>
    <w:pPr>
      <w:ind w:left="2552"/>
    </w:pPr>
  </w:style>
  <w:style w:type="character" w:customStyle="1" w:styleId="BalloonTextChar">
    <w:name w:val="Balloon Text Char"/>
    <w:link w:val="BalloonText"/>
    <w:rsid w:val="000A1EB8"/>
    <w:rPr>
      <w:rFonts w:ascii="Segoe UI" w:hAnsi="Segoe UI" w:cs="Segoe UI"/>
      <w:sz w:val="18"/>
      <w:szCs w:val="18"/>
      <w:lang w:eastAsia="ja-JP"/>
    </w:rPr>
  </w:style>
  <w:style w:type="character" w:customStyle="1" w:styleId="CommentTextChar">
    <w:name w:val="Comment Text Char"/>
    <w:link w:val="CommentText"/>
    <w:uiPriority w:val="99"/>
    <w:qFormat/>
    <w:rsid w:val="000A1EB8"/>
    <w:rPr>
      <w:rFonts w:ascii="Times New Roman" w:hAnsi="Times New Roman"/>
      <w:lang w:eastAsia="ja-JP"/>
    </w:rPr>
  </w:style>
  <w:style w:type="character" w:customStyle="1" w:styleId="CommentSubjectChar">
    <w:name w:val="Comment Subject Char"/>
    <w:link w:val="CommentSubject"/>
    <w:rsid w:val="000A1EB8"/>
    <w:rPr>
      <w:rFonts w:ascii="Times New Roman" w:hAnsi="Times New Roman"/>
      <w:b/>
      <w:bCs/>
      <w:lang w:eastAsia="ja-JP"/>
    </w:rPr>
  </w:style>
  <w:style w:type="paragraph" w:customStyle="1" w:styleId="CRCoverPage">
    <w:name w:val="CR Cover Page"/>
    <w:link w:val="CRCoverPageZchn"/>
    <w:rsid w:val="000A1EB8"/>
    <w:pPr>
      <w:spacing w:after="120"/>
    </w:pPr>
    <w:rPr>
      <w:rFonts w:ascii="Arial" w:hAnsi="Arial"/>
      <w:lang w:eastAsia="ko-KR"/>
    </w:rPr>
  </w:style>
  <w:style w:type="character" w:customStyle="1" w:styleId="CRCoverPageZchn">
    <w:name w:val="CR Cover Page Zchn"/>
    <w:link w:val="CRCoverPage"/>
    <w:rsid w:val="000A1EB8"/>
    <w:rPr>
      <w:rFonts w:ascii="Arial" w:hAnsi="Arial"/>
      <w:lang w:eastAsia="ko-KR"/>
    </w:rPr>
  </w:style>
  <w:style w:type="paragraph" w:customStyle="1" w:styleId="Doc-text2">
    <w:name w:val="Doc-text2"/>
    <w:basedOn w:val="Normal"/>
    <w:link w:val="Doc-text2Char"/>
    <w:qFormat/>
    <w:rsid w:val="000A1EB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A1EB8"/>
    <w:rPr>
      <w:rFonts w:ascii="Arial" w:eastAsia="MS Mincho" w:hAnsi="Arial"/>
      <w:szCs w:val="24"/>
      <w:lang w:val="x-none" w:eastAsia="x-none"/>
    </w:rPr>
  </w:style>
  <w:style w:type="character" w:customStyle="1" w:styleId="DocumentMapChar">
    <w:name w:val="Document Map Char"/>
    <w:link w:val="DocumentMap"/>
    <w:rsid w:val="000A1EB8"/>
    <w:rPr>
      <w:rFonts w:ascii="Tahoma" w:hAnsi="Tahoma" w:cs="Tahoma"/>
      <w:shd w:val="clear" w:color="auto" w:fill="000080"/>
      <w:lang w:eastAsia="ja-JP"/>
    </w:rPr>
  </w:style>
  <w:style w:type="paragraph" w:customStyle="1" w:styleId="NO">
    <w:name w:val="NO"/>
    <w:basedOn w:val="Normal"/>
    <w:link w:val="NOChar"/>
    <w:rsid w:val="000A1EB8"/>
    <w:pPr>
      <w:keepLines/>
      <w:ind w:left="1135" w:hanging="851"/>
    </w:pPr>
  </w:style>
  <w:style w:type="character" w:customStyle="1" w:styleId="NOChar">
    <w:name w:val="NO Char"/>
    <w:link w:val="NO"/>
    <w:qFormat/>
    <w:rsid w:val="000A1EB8"/>
    <w:rPr>
      <w:rFonts w:ascii="Times New Roman" w:hAnsi="Times New Roman"/>
      <w:lang w:eastAsia="ja-JP"/>
    </w:rPr>
  </w:style>
  <w:style w:type="character" w:customStyle="1" w:styleId="EditorsNoteChar">
    <w:name w:val="Editor's Note Char"/>
    <w:link w:val="EditorsNote"/>
    <w:rsid w:val="000A1EB8"/>
    <w:rPr>
      <w:rFonts w:ascii="Times New Roman" w:hAnsi="Times New Roman"/>
      <w:color w:val="FF0000"/>
      <w:lang w:val="x-none" w:eastAsia="x-none"/>
    </w:rPr>
  </w:style>
  <w:style w:type="paragraph" w:customStyle="1" w:styleId="EmailDiscussion">
    <w:name w:val="EmailDiscussion"/>
    <w:basedOn w:val="Normal"/>
    <w:next w:val="Normal"/>
    <w:rsid w:val="000A1EB8"/>
    <w:pPr>
      <w:numPr>
        <w:numId w:val="14"/>
      </w:numPr>
      <w:spacing w:before="40" w:after="0"/>
    </w:pPr>
    <w:rPr>
      <w:rFonts w:ascii="Arial" w:eastAsia="MS Mincho" w:hAnsi="Arial"/>
      <w:b/>
      <w:szCs w:val="24"/>
      <w:lang w:eastAsia="en-GB"/>
    </w:rPr>
  </w:style>
  <w:style w:type="character" w:styleId="Emphasis">
    <w:name w:val="Emphasis"/>
    <w:qFormat/>
    <w:rsid w:val="000A1EB8"/>
    <w:rPr>
      <w:i/>
      <w:iCs/>
    </w:rPr>
  </w:style>
  <w:style w:type="paragraph" w:customStyle="1" w:styleId="FigureTitle">
    <w:name w:val="Figure_Title"/>
    <w:basedOn w:val="Normal"/>
    <w:next w:val="Normal"/>
    <w:rsid w:val="000A1EB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A1EB8"/>
    <w:rPr>
      <w:rFonts w:ascii="Arial" w:hAnsi="Arial"/>
      <w:b/>
      <w:noProof/>
      <w:sz w:val="18"/>
      <w:lang w:eastAsia="ja-JP"/>
    </w:rPr>
  </w:style>
  <w:style w:type="character" w:customStyle="1" w:styleId="FooterChar">
    <w:name w:val="Footer Char"/>
    <w:link w:val="Footer"/>
    <w:rsid w:val="000A1EB8"/>
    <w:rPr>
      <w:rFonts w:ascii="Arial" w:hAnsi="Arial"/>
      <w:b/>
      <w:i/>
      <w:noProof/>
      <w:sz w:val="18"/>
      <w:lang w:eastAsia="ja-JP"/>
    </w:rPr>
  </w:style>
  <w:style w:type="character" w:customStyle="1" w:styleId="FootnoteTextChar">
    <w:name w:val="Footnote Text Char"/>
    <w:link w:val="FootnoteText"/>
    <w:rsid w:val="000A1EB8"/>
    <w:rPr>
      <w:rFonts w:ascii="Times New Roman" w:hAnsi="Times New Roman"/>
      <w:sz w:val="16"/>
      <w:lang w:eastAsia="ja-JP"/>
    </w:rPr>
  </w:style>
  <w:style w:type="paragraph" w:customStyle="1" w:styleId="Guidance">
    <w:name w:val="Guidance"/>
    <w:basedOn w:val="Normal"/>
    <w:rsid w:val="000A1EB8"/>
    <w:rPr>
      <w:i/>
      <w:color w:val="0000FF"/>
    </w:rPr>
  </w:style>
  <w:style w:type="character" w:customStyle="1" w:styleId="Heading2Char">
    <w:name w:val="Heading 2 Char"/>
    <w:link w:val="Heading2"/>
    <w:rsid w:val="000A1EB8"/>
    <w:rPr>
      <w:rFonts w:ascii="Arial" w:hAnsi="Arial"/>
      <w:sz w:val="32"/>
      <w:lang w:eastAsia="ja-JP"/>
    </w:rPr>
  </w:style>
  <w:style w:type="character" w:customStyle="1" w:styleId="Heading3Char">
    <w:name w:val="Heading 3 Char"/>
    <w:link w:val="Heading3"/>
    <w:rsid w:val="000A1EB8"/>
    <w:rPr>
      <w:rFonts w:ascii="Arial" w:hAnsi="Arial"/>
      <w:sz w:val="28"/>
      <w:lang w:eastAsia="ja-JP"/>
    </w:rPr>
  </w:style>
  <w:style w:type="character" w:customStyle="1" w:styleId="Heading4Char">
    <w:name w:val="Heading 4 Char"/>
    <w:link w:val="Heading4"/>
    <w:rsid w:val="000A1EB8"/>
    <w:rPr>
      <w:rFonts w:ascii="Arial" w:hAnsi="Arial"/>
      <w:sz w:val="24"/>
      <w:lang w:eastAsia="ja-JP"/>
    </w:rPr>
  </w:style>
  <w:style w:type="character" w:customStyle="1" w:styleId="Heading5Char">
    <w:name w:val="Heading 5 Char"/>
    <w:link w:val="Heading5"/>
    <w:rsid w:val="000A1EB8"/>
    <w:rPr>
      <w:rFonts w:ascii="Arial" w:hAnsi="Arial"/>
      <w:sz w:val="22"/>
      <w:lang w:eastAsia="ja-JP"/>
    </w:rPr>
  </w:style>
  <w:style w:type="paragraph" w:customStyle="1" w:styleId="H6">
    <w:name w:val="H6"/>
    <w:basedOn w:val="Heading5"/>
    <w:next w:val="Normal"/>
    <w:rsid w:val="000A1EB8"/>
    <w:pPr>
      <w:ind w:left="1985" w:hanging="1985"/>
      <w:outlineLvl w:val="9"/>
    </w:pPr>
    <w:rPr>
      <w:sz w:val="20"/>
    </w:rPr>
  </w:style>
  <w:style w:type="character" w:customStyle="1" w:styleId="Heading6Char">
    <w:name w:val="Heading 6 Char"/>
    <w:link w:val="Heading6"/>
    <w:rsid w:val="000A1EB8"/>
    <w:rPr>
      <w:rFonts w:ascii="Arial" w:hAnsi="Arial"/>
      <w:lang w:eastAsia="ja-JP"/>
    </w:rPr>
  </w:style>
  <w:style w:type="character" w:customStyle="1" w:styleId="Heading7Char">
    <w:name w:val="Heading 7 Char"/>
    <w:link w:val="Heading7"/>
    <w:rsid w:val="000A1EB8"/>
    <w:rPr>
      <w:rFonts w:ascii="Arial" w:hAnsi="Arial"/>
      <w:lang w:eastAsia="ja-JP"/>
    </w:rPr>
  </w:style>
  <w:style w:type="character" w:customStyle="1" w:styleId="Heading8Char">
    <w:name w:val="Heading 8 Char"/>
    <w:link w:val="Heading8"/>
    <w:rsid w:val="000A1EB8"/>
    <w:rPr>
      <w:rFonts w:ascii="Arial" w:hAnsi="Arial"/>
      <w:sz w:val="36"/>
      <w:lang w:eastAsia="ja-JP"/>
    </w:rPr>
  </w:style>
  <w:style w:type="character" w:customStyle="1" w:styleId="Heading9Char">
    <w:name w:val="Heading 9 Char"/>
    <w:link w:val="Heading9"/>
    <w:rsid w:val="000A1EB8"/>
    <w:rPr>
      <w:rFonts w:ascii="Arial" w:hAnsi="Arial"/>
      <w:sz w:val="36"/>
      <w:lang w:eastAsia="ja-JP"/>
    </w:rPr>
  </w:style>
  <w:style w:type="character" w:styleId="HTMLCode">
    <w:name w:val="HTML Code"/>
    <w:uiPriority w:val="99"/>
    <w:unhideWhenUsed/>
    <w:rsid w:val="000A1EB8"/>
    <w:rPr>
      <w:rFonts w:ascii="Courier New" w:eastAsia="Times New Roman" w:hAnsi="Courier New" w:cs="Courier New"/>
      <w:sz w:val="20"/>
      <w:szCs w:val="20"/>
    </w:rPr>
  </w:style>
  <w:style w:type="paragraph" w:styleId="IndexHeading">
    <w:name w:val="index heading"/>
    <w:basedOn w:val="Normal"/>
    <w:next w:val="Normal"/>
    <w:rsid w:val="000A1EB8"/>
    <w:pPr>
      <w:pBdr>
        <w:top w:val="single" w:sz="12" w:space="0" w:color="auto"/>
      </w:pBdr>
      <w:spacing w:before="360" w:after="240"/>
    </w:pPr>
    <w:rPr>
      <w:b/>
      <w:i/>
      <w:sz w:val="26"/>
      <w:lang w:eastAsia="en-GB"/>
    </w:rPr>
  </w:style>
  <w:style w:type="paragraph" w:customStyle="1" w:styleId="LD">
    <w:name w:val="LD"/>
    <w:rsid w:val="000A1EB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0A1EB8"/>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0A1EB8"/>
    <w:rPr>
      <w:rFonts w:ascii="Calibri" w:eastAsia="Calibri" w:hAnsi="Calibri"/>
      <w:sz w:val="22"/>
      <w:szCs w:val="22"/>
      <w:lang w:val="x-none" w:eastAsia="en-US"/>
    </w:rPr>
  </w:style>
  <w:style w:type="paragraph" w:customStyle="1" w:styleId="NF">
    <w:name w:val="NF"/>
    <w:basedOn w:val="NO"/>
    <w:rsid w:val="000A1EB8"/>
    <w:pPr>
      <w:keepNext/>
      <w:spacing w:after="0"/>
    </w:pPr>
    <w:rPr>
      <w:rFonts w:ascii="Arial" w:hAnsi="Arial"/>
      <w:sz w:val="18"/>
    </w:rPr>
  </w:style>
  <w:style w:type="paragraph" w:customStyle="1" w:styleId="NW">
    <w:name w:val="NW"/>
    <w:basedOn w:val="NO"/>
    <w:rsid w:val="000A1EB8"/>
    <w:pPr>
      <w:spacing w:after="0"/>
    </w:pPr>
  </w:style>
  <w:style w:type="paragraph" w:customStyle="1" w:styleId="PL">
    <w:name w:val="PL"/>
    <w:link w:val="PLChar"/>
    <w:qFormat/>
    <w:rsid w:val="000A1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A1EB8"/>
    <w:rPr>
      <w:rFonts w:ascii="Courier New" w:eastAsia="Batang" w:hAnsi="Courier New"/>
      <w:noProof/>
      <w:sz w:val="16"/>
      <w:shd w:val="clear" w:color="auto" w:fill="E6E6E6"/>
      <w:lang w:eastAsia="sv-SE"/>
    </w:rPr>
  </w:style>
  <w:style w:type="paragraph" w:styleId="PlainText">
    <w:name w:val="Plain Text"/>
    <w:basedOn w:val="Normal"/>
    <w:link w:val="PlainTextChar"/>
    <w:rsid w:val="000A1EB8"/>
    <w:rPr>
      <w:rFonts w:ascii="Courier New" w:hAnsi="Courier New"/>
      <w:lang w:val="nb-NO"/>
    </w:rPr>
  </w:style>
  <w:style w:type="character" w:customStyle="1" w:styleId="PlainTextChar">
    <w:name w:val="Plain Text Char"/>
    <w:link w:val="PlainText"/>
    <w:rsid w:val="000A1EB8"/>
    <w:rPr>
      <w:rFonts w:ascii="Courier New" w:hAnsi="Courier New"/>
      <w:lang w:val="nb-NO" w:eastAsia="ja-JP"/>
    </w:rPr>
  </w:style>
  <w:style w:type="character" w:styleId="Strong">
    <w:name w:val="Strong"/>
    <w:uiPriority w:val="22"/>
    <w:qFormat/>
    <w:rsid w:val="000A1EB8"/>
    <w:rPr>
      <w:b/>
      <w:bCs/>
    </w:rPr>
  </w:style>
  <w:style w:type="table" w:styleId="TableGrid">
    <w:name w:val="Table Grid"/>
    <w:basedOn w:val="TableNormal"/>
    <w:uiPriority w:val="39"/>
    <w:rsid w:val="000A1EB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A1EB8"/>
    <w:rPr>
      <w:rFonts w:ascii="Arial" w:hAnsi="Arial"/>
      <w:sz w:val="18"/>
      <w:lang w:val="x-none" w:eastAsia="x-none"/>
    </w:rPr>
  </w:style>
  <w:style w:type="character" w:customStyle="1" w:styleId="TAHCar">
    <w:name w:val="TAH Car"/>
    <w:link w:val="TAH"/>
    <w:locked/>
    <w:rsid w:val="000A1EB8"/>
    <w:rPr>
      <w:rFonts w:ascii="Arial" w:hAnsi="Arial"/>
      <w:b/>
      <w:sz w:val="18"/>
      <w:lang w:val="x-none" w:eastAsia="x-none"/>
    </w:rPr>
  </w:style>
  <w:style w:type="character" w:customStyle="1" w:styleId="THChar">
    <w:name w:val="TH Char"/>
    <w:link w:val="TH"/>
    <w:rsid w:val="000A1EB8"/>
    <w:rPr>
      <w:rFonts w:ascii="Arial" w:hAnsi="Arial"/>
      <w:b/>
      <w:lang w:val="x-none" w:eastAsia="x-none"/>
    </w:rPr>
  </w:style>
  <w:style w:type="paragraph" w:customStyle="1" w:styleId="TAJ">
    <w:name w:val="TAJ"/>
    <w:basedOn w:val="TH"/>
    <w:rsid w:val="000A1EB8"/>
  </w:style>
  <w:style w:type="paragraph" w:customStyle="1" w:styleId="TALCharChar">
    <w:name w:val="TAL Char Char"/>
    <w:basedOn w:val="Normal"/>
    <w:link w:val="TALCharCharChar"/>
    <w:rsid w:val="000A1EB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A1EB8"/>
    <w:rPr>
      <w:rFonts w:ascii="Arial" w:eastAsia="Malgun Gothic" w:hAnsi="Arial"/>
      <w:sz w:val="18"/>
      <w:lang w:val="x-none" w:eastAsia="x-none"/>
    </w:rPr>
  </w:style>
  <w:style w:type="character" w:customStyle="1" w:styleId="TFChar">
    <w:name w:val="TF Char"/>
    <w:link w:val="TF"/>
    <w:rsid w:val="000A1EB8"/>
    <w:rPr>
      <w:rFonts w:ascii="Arial" w:hAnsi="Arial"/>
      <w:b/>
      <w:lang w:val="x-none" w:eastAsia="x-none"/>
    </w:rPr>
  </w:style>
  <w:style w:type="paragraph" w:styleId="ListContinue">
    <w:name w:val="List Continue"/>
    <w:basedOn w:val="Normal"/>
    <w:rsid w:val="000A1EB8"/>
    <w:pPr>
      <w:spacing w:after="120"/>
      <w:ind w:left="283"/>
      <w:contextualSpacing/>
    </w:pPr>
    <w:rPr>
      <w:rFonts w:ascii="Arial" w:hAnsi="Arial"/>
    </w:rPr>
  </w:style>
  <w:style w:type="paragraph" w:styleId="ListContinue2">
    <w:name w:val="List Continue 2"/>
    <w:basedOn w:val="Normal"/>
    <w:rsid w:val="000A1EB8"/>
    <w:pPr>
      <w:spacing w:after="120"/>
      <w:ind w:left="566"/>
      <w:contextualSpacing/>
    </w:pPr>
    <w:rPr>
      <w:rFonts w:ascii="Arial" w:hAnsi="Arial"/>
    </w:rPr>
  </w:style>
  <w:style w:type="paragraph" w:styleId="ListNumber3">
    <w:name w:val="List Number 3"/>
    <w:basedOn w:val="ListNumber2"/>
    <w:rsid w:val="000A1EB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3929E-E6A3-4E4A-994D-14F2B154F10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1FCC1AF-1F00-4587-8992-FA53102E4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8DD0AA-2F82-4A35-9455-04862A16EC51}">
  <ds:schemaRefs>
    <ds:schemaRef ds:uri="http://schemas.microsoft.com/sharepoint/v3/contenttype/forms"/>
  </ds:schemaRefs>
</ds:datastoreItem>
</file>

<file path=customXml/itemProps4.xml><?xml version="1.0" encoding="utf-8"?>
<ds:datastoreItem xmlns:ds="http://schemas.openxmlformats.org/officeDocument/2006/customXml" ds:itemID="{06293C5C-19D0-4B71-87E7-32BCFE742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393</TotalTime>
  <Pages>8</Pages>
  <Words>3384</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30</cp:revision>
  <cp:lastPrinted>2008-01-31T07:09:00Z</cp:lastPrinted>
  <dcterms:created xsi:type="dcterms:W3CDTF">2019-03-22T14:14:00Z</dcterms:created>
  <dcterms:modified xsi:type="dcterms:W3CDTF">2019-03-29T19:37:00Z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0">
    <vt:lpwstr>27</vt:lpwstr>
  </property>
  <property fmtid="{D5CDD505-2E9C-101B-9397-08002B2CF9AE}" pid="5" name="AuthorIds_UIVersion_15">
    <vt:lpwstr>27</vt:lpwstr>
  </property>
</Properties>
</file>